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120" w:before="300" w:line="420" w:lineRule="atLeast"/>
        <w:ind/>
        <w:outlineLvl w:val="2"/>
        <w:rPr>
          <w:rFonts w:ascii="Arial" w:hAnsi="Arial"/>
          <w:b w:val="1"/>
          <w:color w:val="000000"/>
          <w:sz w:val="20"/>
        </w:rPr>
      </w:pPr>
      <w:r>
        <w:rPr>
          <w:rFonts w:ascii="Arial" w:hAnsi="Arial"/>
          <w:b w:val="1"/>
          <w:color w:val="000000"/>
          <w:sz w:val="20"/>
        </w:rPr>
        <w:t xml:space="preserve">                                                                          «Утверждаю»</w:t>
      </w:r>
    </w:p>
    <w:p w14:paraId="02000000">
      <w:pPr>
        <w:spacing w:after="120" w:before="300" w:line="420" w:lineRule="atLeast"/>
        <w:ind/>
        <w:outlineLvl w:val="2"/>
        <w:rPr>
          <w:rFonts w:ascii="Arial" w:hAnsi="Arial"/>
          <w:b w:val="1"/>
          <w:color w:val="000000"/>
          <w:sz w:val="20"/>
        </w:rPr>
      </w:pPr>
      <w:r>
        <w:rPr>
          <w:rFonts w:ascii="Arial" w:hAnsi="Arial"/>
          <w:b w:val="1"/>
          <w:color w:val="000000"/>
          <w:sz w:val="20"/>
        </w:rPr>
        <w:t xml:space="preserve">                                                     </w:t>
      </w:r>
      <w:r>
        <w:rPr>
          <w:rFonts w:ascii="Arial" w:hAnsi="Arial"/>
          <w:b w:val="1"/>
          <w:color w:val="000000"/>
          <w:sz w:val="20"/>
        </w:rPr>
        <w:t xml:space="preserve">                   Генеральный </w:t>
      </w:r>
      <w:r>
        <w:rPr>
          <w:rFonts w:ascii="Arial" w:hAnsi="Arial"/>
          <w:b w:val="1"/>
          <w:color w:val="000000"/>
          <w:sz w:val="20"/>
        </w:rPr>
        <w:t>директор ООО «</w:t>
      </w:r>
      <w:r>
        <w:rPr>
          <w:rFonts w:ascii="Arial" w:hAnsi="Arial"/>
          <w:b w:val="1"/>
          <w:color w:val="000000"/>
          <w:sz w:val="20"/>
        </w:rPr>
        <w:t>Эстедент</w:t>
      </w:r>
      <w:r>
        <w:rPr>
          <w:rFonts w:ascii="Arial" w:hAnsi="Arial"/>
          <w:b w:val="1"/>
          <w:color w:val="000000"/>
          <w:sz w:val="20"/>
        </w:rPr>
        <w:t xml:space="preserve"> плюс»</w:t>
      </w:r>
    </w:p>
    <w:p w14:paraId="03000000">
      <w:pPr>
        <w:spacing w:after="120" w:before="300" w:line="420" w:lineRule="atLeast"/>
        <w:ind/>
        <w:outlineLvl w:val="2"/>
        <w:rPr>
          <w:rFonts w:ascii="Arial" w:hAnsi="Arial"/>
          <w:b w:val="1"/>
          <w:color w:val="000000"/>
          <w:sz w:val="20"/>
        </w:rPr>
      </w:pPr>
      <w:r>
        <w:rPr>
          <w:rFonts w:ascii="Arial" w:hAnsi="Arial"/>
          <w:b w:val="1"/>
          <w:color w:val="000000"/>
          <w:sz w:val="20"/>
        </w:rPr>
        <w:t xml:space="preserve">                                                                       </w:t>
      </w:r>
      <w:r>
        <w:rPr>
          <w:rFonts w:ascii="Arial" w:hAnsi="Arial"/>
          <w:b w:val="1"/>
          <w:color w:val="000000"/>
          <w:sz w:val="20"/>
        </w:rPr>
        <w:t>Бокарев.Ф.В</w:t>
      </w:r>
      <w:r>
        <w:rPr>
          <w:rFonts w:ascii="Arial" w:hAnsi="Arial"/>
          <w:b w:val="1"/>
          <w:color w:val="000000"/>
          <w:sz w:val="20"/>
        </w:rPr>
        <w:t>._______________________________</w:t>
      </w:r>
    </w:p>
    <w:p w14:paraId="04000000">
      <w:pPr>
        <w:spacing w:after="120" w:before="300" w:line="420" w:lineRule="atLeast"/>
        <w:ind/>
        <w:outlineLvl w:val="2"/>
        <w:rPr>
          <w:rFonts w:ascii="Arial" w:hAnsi="Arial"/>
          <w:b w:val="1"/>
          <w:color w:val="000000"/>
          <w:sz w:val="20"/>
        </w:rPr>
      </w:pPr>
    </w:p>
    <w:p w14:paraId="05000000">
      <w:pPr>
        <w:spacing w:after="120" w:before="300" w:line="420" w:lineRule="atLeast"/>
        <w:ind/>
        <w:outlineLvl w:val="2"/>
        <w:rPr>
          <w:rFonts w:ascii="Arial" w:hAnsi="Arial"/>
          <w:b w:val="1"/>
          <w:color w:val="000000"/>
          <w:sz w:val="20"/>
        </w:rPr>
      </w:pPr>
      <w:r>
        <w:rPr>
          <w:rFonts w:ascii="Arial" w:hAnsi="Arial"/>
          <w:b w:val="1"/>
          <w:color w:val="000000"/>
          <w:sz w:val="20"/>
        </w:rPr>
        <w:t xml:space="preserve">                                                                                                                     </w:t>
      </w:r>
    </w:p>
    <w:p w14:paraId="06000000">
      <w:pPr>
        <w:spacing w:after="120" w:before="300" w:line="420" w:lineRule="atLeast"/>
        <w:ind/>
        <w:outlineLvl w:val="2"/>
        <w:rPr>
          <w:rFonts w:ascii="Arial" w:hAnsi="Arial"/>
          <w:b w:val="1"/>
          <w:i w:val="1"/>
          <w:color w:val="000000"/>
          <w:sz w:val="24"/>
        </w:rPr>
      </w:pPr>
      <w:r>
        <w:rPr>
          <w:rFonts w:ascii="Arial" w:hAnsi="Arial"/>
          <w:b w:val="1"/>
          <w:i w:val="1"/>
          <w:color w:val="000000"/>
          <w:sz w:val="24"/>
        </w:rPr>
        <w:t xml:space="preserve">                      </w:t>
      </w:r>
      <w:r>
        <w:rPr>
          <w:rFonts w:ascii="Arial" w:hAnsi="Arial"/>
          <w:b w:val="1"/>
          <w:i w:val="1"/>
          <w:color w:val="000000"/>
          <w:sz w:val="24"/>
        </w:rPr>
        <w:t xml:space="preserve">                                    ПОЛОЖЕНИЕ </w:t>
      </w:r>
    </w:p>
    <w:p w14:paraId="07000000">
      <w:pPr>
        <w:spacing w:after="120" w:before="300" w:line="420" w:lineRule="atLeast"/>
        <w:ind/>
        <w:outlineLvl w:val="2"/>
        <w:rPr>
          <w:rFonts w:ascii="Arial" w:hAnsi="Arial"/>
          <w:b w:val="1"/>
          <w:i w:val="1"/>
          <w:color w:val="000000"/>
          <w:sz w:val="20"/>
        </w:rPr>
      </w:pPr>
      <w:r>
        <w:rPr>
          <w:rFonts w:ascii="Arial" w:hAnsi="Arial"/>
          <w:b w:val="1"/>
          <w:i w:val="1"/>
          <w:color w:val="000000"/>
          <w:sz w:val="20"/>
        </w:rPr>
        <w:t>О ГАРАНТИЙНЫХ ОБЯЗАТЕЛЬСТВАХ И СРОКАХ С</w:t>
      </w:r>
      <w:r>
        <w:rPr>
          <w:rFonts w:ascii="Arial" w:hAnsi="Arial"/>
          <w:b w:val="1"/>
          <w:i w:val="1"/>
          <w:color w:val="000000"/>
          <w:sz w:val="20"/>
        </w:rPr>
        <w:t xml:space="preserve">ЛУЖБЫ ПРИ ОКАЗАНИИ ПЛАТНЫХ МЕДИЦИНСКИХ </w:t>
      </w:r>
      <w:r>
        <w:rPr>
          <w:rFonts w:ascii="Arial" w:hAnsi="Arial"/>
          <w:b w:val="1"/>
          <w:i w:val="1"/>
          <w:color w:val="000000"/>
          <w:sz w:val="20"/>
        </w:rPr>
        <w:t>УСЛУГ В СТОМАТОЛОГИИ ООО «ЭСТЕДЕНТ ПЛЮС»</w:t>
      </w:r>
    </w:p>
    <w:p w14:paraId="08000000">
      <w:pPr>
        <w:spacing w:after="120" w:before="300" w:line="420" w:lineRule="atLeast"/>
        <w:ind/>
        <w:outlineLvl w:val="2"/>
        <w:rPr>
          <w:rFonts w:ascii="Arial" w:hAnsi="Arial"/>
          <w:b w:val="1"/>
          <w:color w:val="000000"/>
          <w:sz w:val="24"/>
        </w:rPr>
      </w:pPr>
      <w:r>
        <w:rPr>
          <w:rFonts w:ascii="Arial" w:hAnsi="Arial"/>
          <w:b w:val="1"/>
          <w:color w:val="000000"/>
          <w:sz w:val="24"/>
        </w:rPr>
        <w:t>1. Общие положения</w:t>
      </w:r>
    </w:p>
    <w:p w14:paraId="0900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1.1. Настоящее Положение регулирует гарантийные обязательства клиники ООО </w:t>
      </w:r>
      <w:r>
        <w:rPr>
          <w:rFonts w:ascii="Arial" w:hAnsi="Arial"/>
          <w:color w:val="000000"/>
          <w:sz w:val="20"/>
        </w:rPr>
        <w:t>«</w:t>
      </w:r>
      <w:r>
        <w:rPr>
          <w:rFonts w:ascii="Arial" w:hAnsi="Arial"/>
          <w:color w:val="000000"/>
          <w:sz w:val="20"/>
        </w:rPr>
        <w:t>Эстедент</w:t>
      </w:r>
      <w:r>
        <w:rPr>
          <w:rFonts w:ascii="Arial" w:hAnsi="Arial"/>
          <w:color w:val="000000"/>
          <w:sz w:val="20"/>
        </w:rPr>
        <w:t xml:space="preserve"> плюс» (далее — Клиника) перед пациентом/заказчиком (далее Пациент) при оказании платных медицинских услуг</w:t>
      </w:r>
      <w:r>
        <w:rPr>
          <w:rFonts w:ascii="Arial" w:hAnsi="Arial"/>
          <w:color w:val="000000"/>
          <w:sz w:val="20"/>
        </w:rPr>
        <w:t xml:space="preserve"> по ортопедической, терапевтической</w:t>
      </w:r>
      <w:r>
        <w:rPr>
          <w:rFonts w:ascii="Arial" w:hAnsi="Arial"/>
          <w:color w:val="000000"/>
          <w:sz w:val="20"/>
        </w:rPr>
        <w:t xml:space="preserve"> и </w:t>
      </w:r>
      <w:r>
        <w:rPr>
          <w:rFonts w:ascii="Arial" w:hAnsi="Arial"/>
          <w:color w:val="000000"/>
          <w:sz w:val="20"/>
        </w:rPr>
        <w:t>хирургической стоматологии и является неот</w:t>
      </w:r>
      <w:r>
        <w:rPr>
          <w:rFonts w:ascii="Arial" w:hAnsi="Arial"/>
          <w:color w:val="000000"/>
          <w:sz w:val="20"/>
        </w:rPr>
        <w:t>ъ</w:t>
      </w:r>
      <w:r>
        <w:rPr>
          <w:rFonts w:ascii="Arial" w:hAnsi="Arial"/>
          <w:color w:val="000000"/>
          <w:sz w:val="20"/>
        </w:rPr>
        <w:t>емлемой частью Договора на оказание платных медицинских услу</w:t>
      </w:r>
      <w:r>
        <w:rPr>
          <w:rFonts w:ascii="Arial" w:hAnsi="Arial"/>
          <w:color w:val="000000"/>
          <w:sz w:val="20"/>
        </w:rPr>
        <w:t xml:space="preserve">г. </w:t>
      </w:r>
    </w:p>
    <w:p w14:paraId="0A00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1.2. Положение разработано на основании:</w:t>
      </w:r>
      <w:r>
        <w:rPr>
          <w:rFonts w:ascii="Arial" w:hAnsi="Arial"/>
          <w:color w:val="000000"/>
          <w:sz w:val="20"/>
        </w:rPr>
        <w:t xml:space="preserve"> </w:t>
      </w:r>
      <w:r>
        <w:rPr>
          <w:rFonts w:ascii="Arial" w:hAnsi="Arial"/>
          <w:color w:val="000000"/>
          <w:sz w:val="20"/>
        </w:rPr>
        <w:t>Закона РФ от 07.02.1992 № 2300-1 «О защите прав потребителей»;</w:t>
      </w:r>
      <w:r>
        <w:rPr>
          <w:rFonts w:ascii="Arial" w:hAnsi="Arial"/>
          <w:color w:val="000000"/>
          <w:sz w:val="20"/>
        </w:rPr>
        <w:t xml:space="preserve"> </w:t>
      </w:r>
      <w:r>
        <w:rPr>
          <w:rFonts w:ascii="Arial" w:hAnsi="Arial"/>
          <w:color w:val="000000"/>
          <w:sz w:val="20"/>
        </w:rPr>
        <w:t>Федерального закона от 21.11.2011 № 323-ФЗ «Об основах охраны здоровья граждан в Российской Федерации»;</w:t>
      </w:r>
      <w:r>
        <w:rPr>
          <w:rFonts w:ascii="Arial" w:hAnsi="Arial"/>
          <w:color w:val="000000"/>
          <w:sz w:val="20"/>
        </w:rPr>
        <w:t xml:space="preserve"> </w:t>
      </w:r>
      <w:r>
        <w:rPr>
          <w:rFonts w:ascii="Arial" w:hAnsi="Arial"/>
          <w:color w:val="000000"/>
          <w:sz w:val="20"/>
        </w:rPr>
        <w:t>Гражданского кодекса Российской Федерации;</w:t>
      </w:r>
      <w:r>
        <w:rPr>
          <w:rFonts w:ascii="Arial" w:hAnsi="Arial"/>
          <w:color w:val="000000"/>
          <w:sz w:val="20"/>
        </w:rPr>
        <w:t xml:space="preserve"> </w:t>
      </w:r>
      <w:r>
        <w:rPr>
          <w:rFonts w:ascii="Arial" w:hAnsi="Arial"/>
          <w:color w:val="000000"/>
          <w:sz w:val="20"/>
        </w:rPr>
        <w:t>Поста</w:t>
      </w:r>
      <w:r>
        <w:rPr>
          <w:rFonts w:ascii="Arial" w:hAnsi="Arial"/>
          <w:color w:val="000000"/>
          <w:sz w:val="20"/>
        </w:rPr>
        <w:t>новления Правительства РФ от 30.05.2026 № 659 «Об утверждении Правил предоставления медицинскими организа</w:t>
      </w:r>
      <w:r>
        <w:rPr>
          <w:rFonts w:ascii="Arial" w:hAnsi="Arial"/>
          <w:color w:val="000000"/>
          <w:sz w:val="20"/>
        </w:rPr>
        <w:t>циями платных медицинских услуг</w:t>
      </w:r>
      <w:r>
        <w:rPr>
          <w:rFonts w:ascii="Arial" w:hAnsi="Arial"/>
          <w:color w:val="000000"/>
          <w:sz w:val="20"/>
        </w:rPr>
        <w:t>;</w:t>
      </w:r>
      <w:r>
        <w:rPr>
          <w:rFonts w:ascii="Arial" w:hAnsi="Arial"/>
          <w:color w:val="000000"/>
          <w:sz w:val="20"/>
        </w:rPr>
        <w:t xml:space="preserve"> </w:t>
      </w:r>
      <w:r>
        <w:rPr>
          <w:rFonts w:ascii="Arial" w:hAnsi="Arial"/>
          <w:color w:val="000000"/>
          <w:sz w:val="20"/>
        </w:rPr>
        <w:t>клинических рекомендаций и стандартов оказания медицинской помощи, утверждённых Минздравом РФ.</w:t>
      </w:r>
    </w:p>
    <w:p w14:paraId="0B00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1.3. Положение является</w:t>
      </w:r>
      <w:r>
        <w:rPr>
          <w:rFonts w:ascii="Arial" w:hAnsi="Arial"/>
          <w:color w:val="000000"/>
          <w:sz w:val="20"/>
        </w:rPr>
        <w:t xml:space="preserve"> неотъемлемой частью договора о предоставлении платных медицинских услуг,</w:t>
      </w:r>
      <w:r>
        <w:rPr>
          <w:rFonts w:ascii="Arial" w:hAnsi="Arial"/>
          <w:color w:val="000000"/>
          <w:sz w:val="20"/>
        </w:rPr>
        <w:t xml:space="preserve"> заключаемого между Клиникой и П</w:t>
      </w:r>
      <w:r>
        <w:rPr>
          <w:rFonts w:ascii="Arial" w:hAnsi="Arial"/>
          <w:color w:val="000000"/>
          <w:sz w:val="20"/>
        </w:rPr>
        <w:t>аци</w:t>
      </w:r>
      <w:r>
        <w:rPr>
          <w:rFonts w:ascii="Arial" w:hAnsi="Arial"/>
          <w:color w:val="000000"/>
          <w:sz w:val="20"/>
        </w:rPr>
        <w:t>ентом (законным представителем П</w:t>
      </w:r>
      <w:r>
        <w:rPr>
          <w:rFonts w:ascii="Arial" w:hAnsi="Arial"/>
          <w:color w:val="000000"/>
          <w:sz w:val="20"/>
        </w:rPr>
        <w:t>аци</w:t>
      </w:r>
      <w:r>
        <w:rPr>
          <w:rFonts w:ascii="Arial" w:hAnsi="Arial"/>
          <w:color w:val="000000"/>
          <w:sz w:val="20"/>
        </w:rPr>
        <w:t>ента), и доводится до сведения П</w:t>
      </w:r>
      <w:r>
        <w:rPr>
          <w:rFonts w:ascii="Arial" w:hAnsi="Arial"/>
          <w:color w:val="000000"/>
          <w:sz w:val="20"/>
        </w:rPr>
        <w:t>ациента до начала</w:t>
      </w:r>
      <w:r>
        <w:rPr>
          <w:rFonts w:ascii="Arial" w:hAnsi="Arial"/>
          <w:color w:val="000000"/>
          <w:sz w:val="20"/>
        </w:rPr>
        <w:t xml:space="preserve"> лечения.</w:t>
      </w:r>
      <w:r>
        <w:rPr>
          <w:rFonts w:ascii="Arial" w:hAnsi="Arial"/>
          <w:color w:val="000000"/>
          <w:sz w:val="20"/>
        </w:rPr>
        <w:t> </w:t>
      </w:r>
    </w:p>
    <w:p w14:paraId="0C00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1.4. Оказываемые Клиникой услуги относятся к сфере здравоохранения и включают в себя:</w:t>
      </w:r>
      <w:r>
        <w:rPr>
          <w:rFonts w:ascii="Arial" w:hAnsi="Arial"/>
          <w:color w:val="000000"/>
          <w:sz w:val="20"/>
        </w:rPr>
        <w:t xml:space="preserve"> ортопедическую,</w:t>
      </w:r>
      <w:r>
        <w:rPr>
          <w:rFonts w:ascii="Arial" w:hAnsi="Arial"/>
          <w:color w:val="000000"/>
          <w:sz w:val="20"/>
        </w:rPr>
        <w:t xml:space="preserve"> </w:t>
      </w:r>
      <w:r>
        <w:rPr>
          <w:rFonts w:ascii="Arial" w:hAnsi="Arial"/>
          <w:color w:val="000000"/>
          <w:sz w:val="20"/>
        </w:rPr>
        <w:t xml:space="preserve">терапевтическую и </w:t>
      </w:r>
      <w:r>
        <w:rPr>
          <w:rFonts w:ascii="Arial" w:hAnsi="Arial"/>
          <w:color w:val="000000"/>
          <w:sz w:val="20"/>
        </w:rPr>
        <w:t>хирургическую стоматологию</w:t>
      </w:r>
      <w:r>
        <w:rPr>
          <w:rFonts w:ascii="Arial" w:hAnsi="Arial"/>
          <w:color w:val="000000"/>
          <w:sz w:val="20"/>
        </w:rPr>
        <w:t xml:space="preserve">: </w:t>
      </w:r>
      <w:r>
        <w:rPr>
          <w:rFonts w:ascii="Arial" w:hAnsi="Arial"/>
          <w:color w:val="000000"/>
          <w:sz w:val="20"/>
        </w:rPr>
        <w:t>дентальную имплантацию</w:t>
      </w:r>
      <w:r>
        <w:rPr>
          <w:rFonts w:ascii="Arial" w:hAnsi="Arial"/>
          <w:color w:val="000000"/>
          <w:sz w:val="20"/>
        </w:rPr>
        <w:t>, костную пластику и иные виды медицинской помощи, предусмотренные лиценз</w:t>
      </w:r>
      <w:r>
        <w:rPr>
          <w:rFonts w:ascii="Arial" w:hAnsi="Arial"/>
          <w:color w:val="000000"/>
          <w:sz w:val="20"/>
        </w:rPr>
        <w:t>ией.</w:t>
      </w:r>
    </w:p>
    <w:p w14:paraId="0D000000">
      <w:pPr>
        <w:spacing w:after="480" w:before="480"/>
        <w:ind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inline>
                <wp:extent cx="0" cy="19050"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Arial" w:hAnsi="Arial"/>
          <w:b w:val="1"/>
          <w:color w:val="000000"/>
          <w:sz w:val="24"/>
        </w:rPr>
        <w:t>2. Основные понятия и определения</w:t>
      </w:r>
    </w:p>
    <w:p w14:paraId="0E000000">
      <w:pPr>
        <w:spacing w:after="480" w:before="48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2.1. </w:t>
      </w:r>
      <w:r>
        <w:rPr>
          <w:rFonts w:ascii="Arial" w:hAnsi="Arial"/>
          <w:b w:val="1"/>
          <w:color w:val="000000"/>
          <w:sz w:val="20"/>
        </w:rPr>
        <w:t>Гарантийный срок</w:t>
      </w:r>
      <w:r>
        <w:rPr>
          <w:rFonts w:ascii="Arial" w:hAnsi="Arial"/>
          <w:color w:val="000000"/>
          <w:sz w:val="20"/>
        </w:rPr>
        <w:t> — период, в течение которого в случае при обнаружении недостатка в выполненной работе (оказанной услуге) Пациент вправе по своему выбору потребовать безвозмездного устранения выявленных недостат</w:t>
      </w:r>
      <w:r>
        <w:rPr>
          <w:rFonts w:ascii="Arial" w:hAnsi="Arial"/>
          <w:color w:val="000000"/>
          <w:sz w:val="20"/>
        </w:rPr>
        <w:t xml:space="preserve">ков, соответствующего уменьшения стоимости оказанной услуги. </w:t>
      </w:r>
    </w:p>
    <w:p w14:paraId="0F000000">
      <w:pPr>
        <w:spacing w:after="480" w:before="48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2.2. </w:t>
      </w:r>
      <w:r>
        <w:rPr>
          <w:rFonts w:ascii="Arial" w:hAnsi="Arial"/>
          <w:b w:val="1"/>
          <w:color w:val="000000"/>
          <w:sz w:val="20"/>
        </w:rPr>
        <w:t>Срок службы</w:t>
      </w:r>
      <w:r>
        <w:rPr>
          <w:rFonts w:ascii="Arial" w:hAnsi="Arial"/>
          <w:color w:val="000000"/>
          <w:sz w:val="20"/>
        </w:rPr>
        <w:t xml:space="preserve"> — период, в течение которого результат услуги пригоден к использованию по назначению. В течении срока службы Клиника отвечает за существенные недостатки, возникшие по причинам, </w:t>
      </w:r>
      <w:r>
        <w:rPr>
          <w:rFonts w:ascii="Arial" w:hAnsi="Arial"/>
          <w:color w:val="000000"/>
          <w:sz w:val="20"/>
        </w:rPr>
        <w:t>имевшим место       до принятия результата работы Пациентом. Срок служ</w:t>
      </w:r>
      <w:r>
        <w:rPr>
          <w:rFonts w:ascii="Arial" w:hAnsi="Arial"/>
          <w:color w:val="000000"/>
          <w:sz w:val="20"/>
        </w:rPr>
        <w:t>бы исчисляется со дня принятия П</w:t>
      </w:r>
      <w:r>
        <w:rPr>
          <w:rFonts w:ascii="Arial" w:hAnsi="Arial"/>
          <w:color w:val="000000"/>
          <w:sz w:val="20"/>
        </w:rPr>
        <w:t>ациентом результата услуги.</w:t>
      </w:r>
    </w:p>
    <w:p w14:paraId="10000000">
      <w:pPr>
        <w:spacing w:after="480" w:before="48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2.3. </w:t>
      </w:r>
      <w:r>
        <w:rPr>
          <w:rFonts w:ascii="Arial" w:hAnsi="Arial"/>
          <w:b w:val="1"/>
          <w:color w:val="000000"/>
          <w:sz w:val="20"/>
        </w:rPr>
        <w:t>Недостаток</w:t>
      </w:r>
      <w:r>
        <w:rPr>
          <w:rFonts w:ascii="Arial" w:hAnsi="Arial"/>
          <w:color w:val="000000"/>
          <w:sz w:val="20"/>
        </w:rPr>
        <w:t> — несоответствие оказанной медицинской услуги обязательным требованиям (стандартам), технологиям оказания меди</w:t>
      </w:r>
      <w:r>
        <w:rPr>
          <w:rFonts w:ascii="Arial" w:hAnsi="Arial"/>
          <w:color w:val="000000"/>
          <w:sz w:val="20"/>
        </w:rPr>
        <w:t xml:space="preserve">цинской помощи и условиям договора, подтвержденное заключением Врачебной комиссии Клиники или независимого эксперта. </w:t>
      </w:r>
    </w:p>
    <w:p w14:paraId="1100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2.4. </w:t>
      </w:r>
      <w:r>
        <w:rPr>
          <w:rFonts w:ascii="Arial" w:hAnsi="Arial"/>
          <w:b w:val="1"/>
          <w:color w:val="000000"/>
          <w:sz w:val="20"/>
        </w:rPr>
        <w:t>Существенный недостаток</w:t>
      </w:r>
      <w:r>
        <w:rPr>
          <w:rFonts w:ascii="Arial" w:hAnsi="Arial"/>
          <w:color w:val="000000"/>
          <w:sz w:val="20"/>
        </w:rPr>
        <w:t> — неустранимый недостаток или недостаток, который не может быть устранён без несоразмерных расходов или затра</w:t>
      </w:r>
      <w:r>
        <w:rPr>
          <w:rFonts w:ascii="Arial" w:hAnsi="Arial"/>
          <w:color w:val="000000"/>
          <w:sz w:val="20"/>
        </w:rPr>
        <w:t>т времени, либо выявляется неоднократно, либо проявляется вновь после его устранения, либо иные подобные недостатки, делающие невозможным или недоступным использование результата услуги по целевому назначению. </w:t>
      </w:r>
    </w:p>
    <w:p w14:paraId="12000000">
      <w:pPr>
        <w:spacing w:after="120" w:before="120"/>
        <w:ind/>
        <w:rPr>
          <w:rFonts w:ascii="Arial" w:hAnsi="Arial"/>
          <w:color w:val="000000"/>
          <w:sz w:val="20"/>
        </w:rPr>
      </w:pPr>
    </w:p>
    <w:p w14:paraId="1300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2.5. </w:t>
      </w:r>
      <w:r>
        <w:rPr>
          <w:rFonts w:ascii="Arial" w:hAnsi="Arial"/>
          <w:b w:val="1"/>
          <w:color w:val="000000"/>
          <w:sz w:val="20"/>
        </w:rPr>
        <w:t>Гарантия производителя</w:t>
      </w:r>
      <w:r>
        <w:rPr>
          <w:rFonts w:ascii="Arial" w:hAnsi="Arial"/>
          <w:color w:val="000000"/>
          <w:sz w:val="20"/>
        </w:rPr>
        <w:t xml:space="preserve"> — обязательство </w:t>
      </w:r>
      <w:r>
        <w:rPr>
          <w:rFonts w:ascii="Arial" w:hAnsi="Arial"/>
          <w:color w:val="000000"/>
          <w:sz w:val="20"/>
        </w:rPr>
        <w:t>производителя дентального имплантата (изделия) в отношении его структурной целостности и технических характеристик, действующая на условиях и в сроки, установленные производителем. </w:t>
      </w:r>
    </w:p>
    <w:p w14:paraId="14000000">
      <w:pPr>
        <w:spacing w:after="120" w:before="120"/>
        <w:ind/>
        <w:rPr>
          <w:rFonts w:ascii="Arial" w:hAnsi="Arial"/>
          <w:color w:val="000000"/>
          <w:sz w:val="20"/>
        </w:rPr>
      </w:pPr>
    </w:p>
    <w:p w14:paraId="1500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2.6. </w:t>
      </w:r>
      <w:r>
        <w:rPr>
          <w:rFonts w:ascii="Arial" w:hAnsi="Arial"/>
          <w:b w:val="1"/>
          <w:color w:val="000000"/>
          <w:sz w:val="20"/>
        </w:rPr>
        <w:t>Гарантия Клиники</w:t>
      </w:r>
      <w:r>
        <w:rPr>
          <w:rFonts w:ascii="Arial" w:hAnsi="Arial"/>
          <w:color w:val="000000"/>
          <w:sz w:val="20"/>
        </w:rPr>
        <w:t> — обязательство Клиники в отношении качества оказанн</w:t>
      </w:r>
      <w:r>
        <w:rPr>
          <w:rFonts w:ascii="Arial" w:hAnsi="Arial"/>
          <w:color w:val="000000"/>
          <w:sz w:val="20"/>
        </w:rPr>
        <w:t>ой медицинской услуги, включая диагностику, планирование, лечение</w:t>
      </w:r>
      <w:r>
        <w:rPr>
          <w:rFonts w:ascii="Arial" w:hAnsi="Arial"/>
          <w:color w:val="000000"/>
          <w:sz w:val="20"/>
        </w:rPr>
        <w:t xml:space="preserve">, </w:t>
      </w:r>
      <w:r>
        <w:rPr>
          <w:rFonts w:ascii="Arial" w:hAnsi="Arial"/>
          <w:color w:val="000000"/>
          <w:sz w:val="20"/>
        </w:rPr>
        <w:t>хирургический этап, послеоперационное ведение пациента и ортопедическое лечение.</w:t>
      </w:r>
    </w:p>
    <w:p w14:paraId="16000000">
      <w:pPr>
        <w:spacing w:after="480" w:before="480" w:line="420" w:lineRule="atLeast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inline>
                <wp:extent cx="0" cy="19050"/>
                <wp:docPr hidden="false" id="2" name="Picture 2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17000000">
      <w:pPr>
        <w:spacing w:after="120" w:before="300" w:line="420" w:lineRule="atLeast"/>
        <w:ind/>
        <w:outlineLvl w:val="2"/>
        <w:rPr>
          <w:rFonts w:ascii="Arial" w:hAnsi="Arial"/>
          <w:b w:val="1"/>
          <w:color w:val="000000"/>
          <w:sz w:val="24"/>
        </w:rPr>
      </w:pPr>
      <w:r>
        <w:rPr>
          <w:rFonts w:ascii="Arial" w:hAnsi="Arial"/>
          <w:b w:val="1"/>
          <w:color w:val="000000"/>
          <w:sz w:val="24"/>
        </w:rPr>
        <w:t>3. Виды гарантий</w:t>
      </w:r>
    </w:p>
    <w:p w14:paraId="1800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 Клиника предоставляет два вида гарантий: </w:t>
      </w:r>
      <w:r>
        <w:rPr>
          <w:rFonts w:ascii="Arial" w:hAnsi="Arial"/>
          <w:b w:val="1"/>
          <w:color w:val="000000"/>
          <w:sz w:val="20"/>
        </w:rPr>
        <w:t>безусловные (обязательные)</w:t>
      </w:r>
      <w:r>
        <w:rPr>
          <w:rFonts w:ascii="Arial" w:hAnsi="Arial"/>
          <w:color w:val="000000"/>
          <w:sz w:val="20"/>
        </w:rPr>
        <w:t> и </w:t>
      </w:r>
      <w:r>
        <w:rPr>
          <w:rFonts w:ascii="Arial" w:hAnsi="Arial"/>
          <w:b w:val="1"/>
          <w:color w:val="000000"/>
          <w:sz w:val="20"/>
        </w:rPr>
        <w:t>прогнозируемые</w:t>
      </w:r>
      <w:r>
        <w:rPr>
          <w:rFonts w:ascii="Arial" w:hAnsi="Arial"/>
          <w:color w:val="000000"/>
          <w:sz w:val="20"/>
        </w:rPr>
        <w:t>.</w:t>
      </w:r>
    </w:p>
    <w:p w14:paraId="1900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3.1</w:t>
      </w:r>
      <w:r>
        <w:rPr>
          <w:rFonts w:ascii="Arial" w:hAnsi="Arial"/>
          <w:color w:val="000000"/>
          <w:sz w:val="20"/>
        </w:rPr>
        <w:t>. </w:t>
      </w:r>
      <w:r>
        <w:rPr>
          <w:rFonts w:ascii="Arial" w:hAnsi="Arial"/>
          <w:b w:val="1"/>
          <w:color w:val="000000"/>
          <w:sz w:val="20"/>
        </w:rPr>
        <w:t>Безусловные гарантии</w:t>
      </w:r>
      <w:r>
        <w:rPr>
          <w:rFonts w:ascii="Arial" w:hAnsi="Arial"/>
          <w:color w:val="000000"/>
          <w:sz w:val="20"/>
        </w:rPr>
        <w:t> предоставляются П</w:t>
      </w:r>
      <w:r>
        <w:rPr>
          <w:rFonts w:ascii="Arial" w:hAnsi="Arial"/>
          <w:color w:val="000000"/>
          <w:sz w:val="20"/>
        </w:rPr>
        <w:t>ациенту во всех случаях оказания медицинской помощи, без каких-либо дополнительных условий: </w:t>
      </w:r>
    </w:p>
    <w:p w14:paraId="1A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предоставление полной, достоверной и доступной по форме и</w:t>
      </w:r>
      <w:r>
        <w:rPr>
          <w:rFonts w:ascii="Arial" w:hAnsi="Arial"/>
          <w:color w:val="000000"/>
          <w:sz w:val="20"/>
        </w:rPr>
        <w:t>нформации о состоянии здоровья П</w:t>
      </w:r>
      <w:r>
        <w:rPr>
          <w:rFonts w:ascii="Arial" w:hAnsi="Arial"/>
          <w:color w:val="000000"/>
          <w:sz w:val="20"/>
        </w:rPr>
        <w:t>ациента;</w:t>
      </w:r>
    </w:p>
    <w:p w14:paraId="1B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проведение </w:t>
      </w:r>
      <w:r>
        <w:rPr>
          <w:rFonts w:ascii="Arial" w:hAnsi="Arial"/>
          <w:color w:val="000000"/>
          <w:sz w:val="20"/>
        </w:rPr>
        <w:t>консультации и консилиума;</w:t>
      </w:r>
    </w:p>
    <w:p w14:paraId="1C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оказание медицинских услуг специалистами, имеющими сертификаты (свидетельства об аккредитации) специалиста, подтверждающие право на осуществление данного вида медицинской деятельности;</w:t>
      </w:r>
    </w:p>
    <w:p w14:paraId="1D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уч</w:t>
      </w:r>
      <w:r>
        <w:rPr>
          <w:rFonts w:ascii="Arial" w:hAnsi="Arial"/>
          <w:color w:val="000000"/>
          <w:sz w:val="20"/>
        </w:rPr>
        <w:t>ёт показателей общего здоровья П</w:t>
      </w:r>
      <w:r>
        <w:rPr>
          <w:rFonts w:ascii="Arial" w:hAnsi="Arial"/>
          <w:color w:val="000000"/>
          <w:sz w:val="20"/>
        </w:rPr>
        <w:t>ациента пр</w:t>
      </w:r>
      <w:r>
        <w:rPr>
          <w:rFonts w:ascii="Arial" w:hAnsi="Arial"/>
          <w:color w:val="000000"/>
          <w:sz w:val="20"/>
        </w:rPr>
        <w:t>и осуществлении диагностических, лечебных и профилактических мероприятий;</w:t>
      </w:r>
    </w:p>
    <w:p w14:paraId="1E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безопасность лечения — обеспечивается комплексом санитарно-эпидемиологических мероприятий и использованием разрешённых к применению Минздравом РФ технологий и материалов, не утративш</w:t>
      </w:r>
      <w:r>
        <w:rPr>
          <w:rFonts w:ascii="Arial" w:hAnsi="Arial"/>
          <w:color w:val="000000"/>
          <w:sz w:val="20"/>
        </w:rPr>
        <w:t>их сроки годности на момент оказания услуги;</w:t>
      </w:r>
    </w:p>
    <w:p w14:paraId="1F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тщательное соблюдение технологий лечения, разрешённых Минздравом РФ;</w:t>
      </w:r>
    </w:p>
    <w:p w14:paraId="20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лечение в соответствии со стандартами оказания медицинской помощи и клиническими рекомендациями;</w:t>
      </w:r>
    </w:p>
    <w:p w14:paraId="21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динамический контроль процесса и результатов </w:t>
      </w:r>
      <w:r>
        <w:rPr>
          <w:rFonts w:ascii="Arial" w:hAnsi="Arial"/>
          <w:color w:val="000000"/>
          <w:sz w:val="20"/>
        </w:rPr>
        <w:t>оказания медицинской услуги;</w:t>
      </w:r>
    </w:p>
    <w:p w14:paraId="22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проведение контрольных осмотров — по показаниям, после сложного лечения или при необходимости предупреждения нежелательных последствий.</w:t>
      </w:r>
    </w:p>
    <w:p w14:paraId="2300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3.2</w:t>
      </w:r>
      <w:r>
        <w:rPr>
          <w:rFonts w:ascii="Arial" w:hAnsi="Arial"/>
          <w:color w:val="000000"/>
          <w:sz w:val="20"/>
        </w:rPr>
        <w:t>. </w:t>
      </w:r>
      <w:r>
        <w:rPr>
          <w:rFonts w:ascii="Arial" w:hAnsi="Arial"/>
          <w:b w:val="1"/>
          <w:color w:val="000000"/>
          <w:sz w:val="20"/>
        </w:rPr>
        <w:t>Прогнозируемые гарантии</w:t>
      </w:r>
      <w:r>
        <w:rPr>
          <w:rFonts w:ascii="Arial" w:hAnsi="Arial"/>
          <w:color w:val="000000"/>
          <w:sz w:val="20"/>
        </w:rPr>
        <w:t> устанавливаются на медицинские услуги (работы), имеющие матери</w:t>
      </w:r>
      <w:r>
        <w:rPr>
          <w:rFonts w:ascii="Arial" w:hAnsi="Arial"/>
          <w:color w:val="000000"/>
          <w:sz w:val="20"/>
        </w:rPr>
        <w:t>альный (овеществлённый) результат:</w:t>
      </w:r>
      <w:r>
        <w:rPr>
          <w:rFonts w:ascii="Arial" w:hAnsi="Arial"/>
          <w:color w:val="000000"/>
          <w:sz w:val="20"/>
        </w:rPr>
        <w:t xml:space="preserve"> пломбы, реставрации,</w:t>
      </w:r>
      <w:r>
        <w:rPr>
          <w:rFonts w:ascii="Arial" w:hAnsi="Arial"/>
          <w:color w:val="000000"/>
          <w:sz w:val="20"/>
        </w:rPr>
        <w:t xml:space="preserve"> дентальные имплантаты, ортопедические конструкции (коронки, мостовидные протезы, вкладки). Прогнозируемые гарантии устанавливаются в виде гарантийного срока и срока службы. </w:t>
      </w:r>
    </w:p>
    <w:p w14:paraId="2400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3.3</w:t>
      </w:r>
      <w:r>
        <w:rPr>
          <w:rFonts w:ascii="Arial" w:hAnsi="Arial"/>
          <w:color w:val="000000"/>
          <w:sz w:val="20"/>
        </w:rPr>
        <w:t>. Конкретные гарантийные сроки и сроки служб</w:t>
      </w:r>
      <w:r>
        <w:rPr>
          <w:rFonts w:ascii="Arial" w:hAnsi="Arial"/>
          <w:color w:val="000000"/>
          <w:sz w:val="20"/>
        </w:rPr>
        <w:t>ы на выполненные работы для каждого пациента устанавливаются лечащим врачом в зависимости от клинич</w:t>
      </w:r>
      <w:r>
        <w:rPr>
          <w:rFonts w:ascii="Arial" w:hAnsi="Arial"/>
          <w:color w:val="000000"/>
          <w:sz w:val="20"/>
        </w:rPr>
        <w:t>еской ситуации</w:t>
      </w:r>
      <w:r>
        <w:rPr>
          <w:rFonts w:ascii="Arial" w:hAnsi="Arial"/>
          <w:color w:val="000000"/>
          <w:sz w:val="20"/>
        </w:rPr>
        <w:t>, полноты выполнения П</w:t>
      </w:r>
      <w:r>
        <w:rPr>
          <w:rFonts w:ascii="Arial" w:hAnsi="Arial"/>
          <w:color w:val="000000"/>
          <w:sz w:val="20"/>
        </w:rPr>
        <w:t>ацие</w:t>
      </w:r>
      <w:r>
        <w:rPr>
          <w:rFonts w:ascii="Arial" w:hAnsi="Arial"/>
          <w:color w:val="000000"/>
          <w:sz w:val="20"/>
        </w:rPr>
        <w:t>нтом плана лечения, соблюдения П</w:t>
      </w:r>
      <w:r>
        <w:rPr>
          <w:rFonts w:ascii="Arial" w:hAnsi="Arial"/>
          <w:color w:val="000000"/>
          <w:sz w:val="20"/>
        </w:rPr>
        <w:t>ациентом условий предоставления гар</w:t>
      </w:r>
      <w:r>
        <w:rPr>
          <w:rFonts w:ascii="Arial" w:hAnsi="Arial"/>
          <w:color w:val="000000"/>
          <w:sz w:val="20"/>
        </w:rPr>
        <w:t>антии. Сроки могут быть уменьшены или увеличены по сравнению со средними, что фиксируется вра</w:t>
      </w:r>
      <w:r>
        <w:rPr>
          <w:rFonts w:ascii="Arial" w:hAnsi="Arial"/>
          <w:color w:val="000000"/>
          <w:sz w:val="20"/>
        </w:rPr>
        <w:t>чом в медицинской документации П</w:t>
      </w:r>
      <w:r>
        <w:rPr>
          <w:rFonts w:ascii="Arial" w:hAnsi="Arial"/>
          <w:color w:val="000000"/>
          <w:sz w:val="20"/>
        </w:rPr>
        <w:t>ациента.</w:t>
      </w:r>
    </w:p>
    <w:p w14:paraId="25000000">
      <w:pPr>
        <w:spacing w:after="480" w:before="480" w:line="420" w:lineRule="atLeast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inline>
                <wp:extent cx="0" cy="19050"/>
                <wp:docPr hidden="false" id="3" name="Picture 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26000000">
      <w:pPr>
        <w:spacing w:after="120" w:before="300" w:line="420" w:lineRule="atLeast"/>
        <w:ind/>
        <w:outlineLvl w:val="2"/>
        <w:rPr>
          <w:rFonts w:ascii="Arial" w:hAnsi="Arial"/>
          <w:b w:val="1"/>
          <w:color w:val="000000"/>
          <w:sz w:val="24"/>
        </w:rPr>
      </w:pPr>
      <w:r>
        <w:rPr>
          <w:rFonts w:ascii="Arial" w:hAnsi="Arial"/>
          <w:b w:val="1"/>
          <w:color w:val="000000"/>
          <w:sz w:val="24"/>
        </w:rPr>
        <w:t>4. Условия предоставления гарантий</w:t>
      </w:r>
    </w:p>
    <w:p w14:paraId="2700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4.1. Гарантийный срок исчисляется с момента передачи результата</w:t>
      </w:r>
      <w:r>
        <w:rPr>
          <w:rFonts w:ascii="Arial" w:hAnsi="Arial"/>
          <w:color w:val="000000"/>
          <w:sz w:val="20"/>
        </w:rPr>
        <w:t xml:space="preserve"> (</w:t>
      </w:r>
      <w:r>
        <w:rPr>
          <w:rFonts w:ascii="Arial" w:hAnsi="Arial"/>
          <w:color w:val="000000"/>
          <w:sz w:val="20"/>
        </w:rPr>
        <w:t>работы</w:t>
      </w:r>
      <w:r>
        <w:rPr>
          <w:rFonts w:ascii="Arial" w:hAnsi="Arial"/>
          <w:color w:val="000000"/>
          <w:sz w:val="20"/>
        </w:rPr>
        <w:t>)</w:t>
      </w:r>
      <w:r>
        <w:rPr>
          <w:rFonts w:ascii="Arial" w:hAnsi="Arial"/>
          <w:color w:val="000000"/>
          <w:sz w:val="20"/>
        </w:rPr>
        <w:t xml:space="preserve"> П</w:t>
      </w:r>
      <w:r>
        <w:rPr>
          <w:rFonts w:ascii="Arial" w:hAnsi="Arial"/>
          <w:color w:val="000000"/>
          <w:sz w:val="20"/>
        </w:rPr>
        <w:t>ациенту, то е</w:t>
      </w:r>
      <w:r>
        <w:rPr>
          <w:rFonts w:ascii="Arial" w:hAnsi="Arial"/>
          <w:color w:val="000000"/>
          <w:sz w:val="20"/>
        </w:rPr>
        <w:t>сть с момента окончания оказания услуги (завершения соответствующего этапа лечения). Момент приёма результата фиксируется в медицинской документации (акте приёма-передачи, записи в амбулаторной карте). </w:t>
      </w:r>
    </w:p>
    <w:p w14:paraId="2800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4.2. Гарантия на ортопедические конструкции (коронки,</w:t>
      </w:r>
      <w:r>
        <w:rPr>
          <w:rFonts w:ascii="Arial" w:hAnsi="Arial"/>
          <w:color w:val="000000"/>
          <w:sz w:val="20"/>
        </w:rPr>
        <w:t xml:space="preserve"> протезы на имплантатах) исчисляется с момента фиксации постоя</w:t>
      </w:r>
      <w:r>
        <w:rPr>
          <w:rFonts w:ascii="Arial" w:hAnsi="Arial"/>
          <w:color w:val="000000"/>
          <w:sz w:val="20"/>
        </w:rPr>
        <w:t>нной конструкции в полости рта П</w:t>
      </w:r>
      <w:r>
        <w:rPr>
          <w:rFonts w:ascii="Arial" w:hAnsi="Arial"/>
          <w:color w:val="000000"/>
          <w:sz w:val="20"/>
        </w:rPr>
        <w:t>ациента.</w:t>
      </w:r>
    </w:p>
    <w:p w14:paraId="2900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4.3. Гарантия на хирургический этап имплантации (установку имплантата) исчисляется с момента проведения хирургической операции. </w:t>
      </w:r>
    </w:p>
    <w:p w14:paraId="2A00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4.4. Гарантия предоставл</w:t>
      </w:r>
      <w:r>
        <w:rPr>
          <w:rFonts w:ascii="Arial" w:hAnsi="Arial"/>
          <w:color w:val="000000"/>
          <w:sz w:val="20"/>
        </w:rPr>
        <w:t>яется при условии выполнения П</w:t>
      </w:r>
      <w:r>
        <w:rPr>
          <w:rFonts w:ascii="Arial" w:hAnsi="Arial"/>
          <w:color w:val="000000"/>
          <w:sz w:val="20"/>
        </w:rPr>
        <w:t>ациентом следующих требований:</w:t>
      </w:r>
    </w:p>
    <w:p w14:paraId="2B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соблюдение периодичности профилактических осмотров, назначенных лечащим врачом;</w:t>
      </w:r>
    </w:p>
    <w:p w14:paraId="2C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проведение профессиональной гигиены полости рта не реже 1 раза в 6 месяцев (либо в иной срок, рекомендованный </w:t>
      </w:r>
      <w:r>
        <w:rPr>
          <w:rFonts w:ascii="Arial" w:hAnsi="Arial"/>
          <w:color w:val="000000"/>
          <w:sz w:val="20"/>
        </w:rPr>
        <w:t>врачом);</w:t>
      </w:r>
    </w:p>
    <w:p w14:paraId="2D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соблюдение всех рекомендаций лечащего врача, включая рекомендации по уходу за полостью рта, питанию, режиму нагрузок;</w:t>
      </w:r>
    </w:p>
    <w:p w14:paraId="2E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соблюдение сроков лечения, выполнение согласованного плана лечения в полном объёме;</w:t>
      </w:r>
    </w:p>
    <w:p w14:paraId="2F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соблюдение индивидуальной гигиены полости рта</w:t>
      </w:r>
      <w:r>
        <w:rPr>
          <w:rFonts w:ascii="Arial" w:hAnsi="Arial"/>
          <w:color w:val="000000"/>
          <w:sz w:val="20"/>
        </w:rPr>
        <w:t>;</w:t>
      </w:r>
    </w:p>
    <w:p w14:paraId="30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информирование врача обо всех изменениях в состоянии здоровья, возникших до или в период лечения;</w:t>
      </w:r>
    </w:p>
    <w:p w14:paraId="31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своевременное обращение в Клинику при обнаружении недостатков или возникновении жалоб;</w:t>
      </w:r>
    </w:p>
    <w:p w14:paraId="32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отказ от обращения в другие медицинские организации для лечения, корр</w:t>
      </w:r>
      <w:r>
        <w:rPr>
          <w:rFonts w:ascii="Arial" w:hAnsi="Arial"/>
          <w:color w:val="000000"/>
          <w:sz w:val="20"/>
        </w:rPr>
        <w:t>екции или переделывания работ, выполненных в Клинике, без согласования с лечащим врачом. </w:t>
      </w:r>
    </w:p>
    <w:p w14:paraId="3300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4.5. В случае несоблюдения П</w:t>
      </w:r>
      <w:r>
        <w:rPr>
          <w:rFonts w:ascii="Arial" w:hAnsi="Arial"/>
          <w:color w:val="000000"/>
          <w:sz w:val="20"/>
        </w:rPr>
        <w:t>ациентом установленных требований гарантийные обязательства Клиники прекращаются. </w:t>
      </w:r>
    </w:p>
    <w:p w14:paraId="34000000">
      <w:pPr>
        <w:spacing w:after="480" w:before="480" w:line="420" w:lineRule="atLeast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inline>
                <wp:extent cx="0" cy="19050"/>
                <wp:docPr hidden="false" id="4" name="Picture 4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35000000">
      <w:pPr>
        <w:spacing w:after="120" w:before="300" w:line="420" w:lineRule="atLeast"/>
        <w:ind/>
        <w:outlineLvl w:val="2"/>
        <w:rPr>
          <w:rFonts w:ascii="Arial" w:hAnsi="Arial"/>
          <w:b w:val="1"/>
          <w:color w:val="000000"/>
          <w:sz w:val="24"/>
        </w:rPr>
      </w:pPr>
      <w:r>
        <w:rPr>
          <w:rFonts w:ascii="Arial" w:hAnsi="Arial"/>
          <w:b w:val="1"/>
          <w:color w:val="000000"/>
          <w:sz w:val="24"/>
        </w:rPr>
        <w:t>5. Случаи, в которых гарантия не предоставляется (</w:t>
      </w:r>
      <w:r>
        <w:rPr>
          <w:rFonts w:ascii="Arial" w:hAnsi="Arial"/>
          <w:b w:val="1"/>
          <w:color w:val="000000"/>
          <w:sz w:val="24"/>
        </w:rPr>
        <w:t>нег</w:t>
      </w:r>
      <w:r>
        <w:rPr>
          <w:rFonts w:ascii="Arial" w:hAnsi="Arial"/>
          <w:b w:val="1"/>
          <w:color w:val="000000"/>
          <w:sz w:val="24"/>
        </w:rPr>
        <w:t>арантийные</w:t>
      </w:r>
      <w:r>
        <w:rPr>
          <w:rFonts w:ascii="Arial" w:hAnsi="Arial"/>
          <w:b w:val="1"/>
          <w:color w:val="000000"/>
          <w:sz w:val="24"/>
        </w:rPr>
        <w:t xml:space="preserve"> случаи)</w:t>
      </w:r>
    </w:p>
    <w:p w14:paraId="3600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5.1. Клиника не принимает на себя гарантийные обязательства и не проводит бесплатного гарантийного лечения, если недостаток либо существенный недостаток возник в результате: </w:t>
      </w:r>
    </w:p>
    <w:p w14:paraId="37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травмы (спортивной, уличной, бытовой, производственной);</w:t>
      </w:r>
    </w:p>
    <w:p w14:paraId="38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дорож</w:t>
      </w:r>
      <w:r>
        <w:rPr>
          <w:rFonts w:ascii="Arial" w:hAnsi="Arial"/>
          <w:color w:val="000000"/>
          <w:sz w:val="20"/>
        </w:rPr>
        <w:t>но-транспортного происшествия;</w:t>
      </w:r>
    </w:p>
    <w:p w14:paraId="39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попытки самостоятельного ремонта, коррекции или вмешательства;</w:t>
      </w:r>
    </w:p>
    <w:p w14:paraId="3A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наличия у П</w:t>
      </w:r>
      <w:r>
        <w:rPr>
          <w:rFonts w:ascii="Arial" w:hAnsi="Arial"/>
          <w:color w:val="000000"/>
          <w:sz w:val="20"/>
        </w:rPr>
        <w:t>ациент</w:t>
      </w:r>
      <w:r>
        <w:rPr>
          <w:rFonts w:ascii="Arial" w:hAnsi="Arial"/>
          <w:color w:val="000000"/>
          <w:sz w:val="20"/>
        </w:rPr>
        <w:t>а заболевания «</w:t>
      </w:r>
      <w:r>
        <w:rPr>
          <w:rFonts w:ascii="Arial" w:hAnsi="Arial"/>
          <w:color w:val="000000"/>
          <w:sz w:val="20"/>
        </w:rPr>
        <w:t>бруксизм</w:t>
      </w:r>
      <w:r>
        <w:rPr>
          <w:rFonts w:ascii="Arial" w:hAnsi="Arial"/>
          <w:color w:val="000000"/>
          <w:sz w:val="20"/>
        </w:rPr>
        <w:t>» (если П</w:t>
      </w:r>
      <w:r>
        <w:rPr>
          <w:rFonts w:ascii="Arial" w:hAnsi="Arial"/>
          <w:color w:val="000000"/>
          <w:sz w:val="20"/>
        </w:rPr>
        <w:t>ациент не сообщил о нём до лечения и не получил соответствующих рекомендаций);</w:t>
      </w:r>
    </w:p>
    <w:p w14:paraId="3B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наличия у П</w:t>
      </w:r>
      <w:r>
        <w:rPr>
          <w:rFonts w:ascii="Arial" w:hAnsi="Arial"/>
          <w:color w:val="000000"/>
          <w:sz w:val="20"/>
        </w:rPr>
        <w:t>ациента тяжёлой соматич</w:t>
      </w:r>
      <w:r>
        <w:rPr>
          <w:rFonts w:ascii="Arial" w:hAnsi="Arial"/>
          <w:color w:val="000000"/>
          <w:sz w:val="20"/>
        </w:rPr>
        <w:t>еской патологии (сахарный диабет, заболевания соединительной ткани, онкологические заболеван</w:t>
      </w:r>
      <w:r>
        <w:rPr>
          <w:rFonts w:ascii="Arial" w:hAnsi="Arial"/>
          <w:color w:val="000000"/>
          <w:sz w:val="20"/>
        </w:rPr>
        <w:t>ия,</w:t>
      </w:r>
      <w:r>
        <w:rPr>
          <w:rFonts w:ascii="Arial" w:hAnsi="Arial"/>
          <w:color w:val="000000"/>
          <w:sz w:val="20"/>
        </w:rPr>
        <w:t xml:space="preserve"> и др.), о которой пациент не сообщил или которая была выявлена после начала лечения;</w:t>
      </w:r>
    </w:p>
    <w:p w14:paraId="3C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 </w:t>
      </w:r>
      <w:r>
        <w:rPr>
          <w:rFonts w:ascii="Arial" w:hAnsi="Arial"/>
          <w:color w:val="000000"/>
          <w:sz w:val="20"/>
        </w:rPr>
        <w:t xml:space="preserve">выявления </w:t>
      </w:r>
      <w:r>
        <w:rPr>
          <w:rFonts w:ascii="Arial" w:hAnsi="Arial"/>
          <w:color w:val="000000"/>
          <w:sz w:val="20"/>
        </w:rPr>
        <w:t xml:space="preserve">у </w:t>
      </w:r>
      <w:r>
        <w:rPr>
          <w:rFonts w:ascii="Arial" w:hAnsi="Arial"/>
          <w:color w:val="000000"/>
          <w:sz w:val="20"/>
        </w:rPr>
        <w:t>П</w:t>
      </w:r>
      <w:r>
        <w:rPr>
          <w:rFonts w:ascii="Arial" w:hAnsi="Arial"/>
          <w:color w:val="000000"/>
          <w:sz w:val="20"/>
        </w:rPr>
        <w:t>ациента</w:t>
      </w:r>
      <w:r>
        <w:rPr>
          <w:rFonts w:ascii="Arial" w:hAnsi="Arial"/>
          <w:color w:val="000000"/>
          <w:sz w:val="20"/>
        </w:rPr>
        <w:t xml:space="preserve"> быстро</w:t>
      </w:r>
      <w:r>
        <w:rPr>
          <w:rFonts w:ascii="Arial" w:hAnsi="Arial"/>
          <w:color w:val="000000"/>
          <w:sz w:val="20"/>
        </w:rPr>
        <w:t xml:space="preserve"> </w:t>
      </w:r>
      <w:r>
        <w:rPr>
          <w:rFonts w:ascii="Arial" w:hAnsi="Arial"/>
          <w:color w:val="000000"/>
          <w:sz w:val="20"/>
        </w:rPr>
        <w:t xml:space="preserve">прогрессирующего </w:t>
      </w:r>
      <w:r>
        <w:rPr>
          <w:rFonts w:ascii="Arial" w:hAnsi="Arial"/>
          <w:color w:val="000000"/>
          <w:sz w:val="20"/>
        </w:rPr>
        <w:t>генерализованного</w:t>
      </w:r>
      <w:r>
        <w:rPr>
          <w:rFonts w:ascii="Arial" w:hAnsi="Arial"/>
          <w:color w:val="000000"/>
          <w:sz w:val="20"/>
        </w:rPr>
        <w:t xml:space="preserve"> пародонтита (после </w:t>
      </w:r>
      <w:r>
        <w:rPr>
          <w:rFonts w:ascii="Arial" w:hAnsi="Arial"/>
          <w:color w:val="000000"/>
          <w:sz w:val="20"/>
        </w:rPr>
        <w:t xml:space="preserve">    </w:t>
      </w:r>
      <w:r>
        <w:rPr>
          <w:rFonts w:ascii="Arial" w:hAnsi="Arial"/>
          <w:color w:val="000000"/>
          <w:sz w:val="20"/>
        </w:rPr>
        <w:t>начала лечения);</w:t>
      </w:r>
    </w:p>
    <w:p w14:paraId="3D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несоблюдения рекомендаций врача;</w:t>
      </w:r>
    </w:p>
    <w:p w14:paraId="3E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чрезвычайных ситуаций природного и техногенного характера;</w:t>
      </w:r>
    </w:p>
    <w:p w14:paraId="3F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курения табака в объёме более 10 сигарет в сутки (для </w:t>
      </w:r>
      <w:r>
        <w:rPr>
          <w:rFonts w:ascii="Arial" w:hAnsi="Arial"/>
          <w:color w:val="000000"/>
          <w:sz w:val="20"/>
        </w:rPr>
        <w:t>имплантологии</w:t>
      </w:r>
      <w:r>
        <w:rPr>
          <w:rFonts w:ascii="Arial" w:hAnsi="Arial"/>
          <w:color w:val="000000"/>
          <w:sz w:val="20"/>
        </w:rPr>
        <w:t xml:space="preserve"> — в период </w:t>
      </w:r>
      <w:r>
        <w:rPr>
          <w:rFonts w:ascii="Arial" w:hAnsi="Arial"/>
          <w:color w:val="000000"/>
          <w:sz w:val="20"/>
        </w:rPr>
        <w:t>остеоинтеграции</w:t>
      </w:r>
      <w:r>
        <w:rPr>
          <w:rFonts w:ascii="Arial" w:hAnsi="Arial"/>
          <w:color w:val="000000"/>
          <w:sz w:val="20"/>
        </w:rPr>
        <w:t xml:space="preserve"> и после, если </w:t>
      </w:r>
      <w:r>
        <w:rPr>
          <w:rFonts w:ascii="Arial" w:hAnsi="Arial"/>
          <w:color w:val="000000"/>
          <w:sz w:val="20"/>
        </w:rPr>
        <w:t>врач предупредил о риске). </w:t>
      </w:r>
    </w:p>
    <w:p w14:paraId="4000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5.2. Гарантийное лечение не производится также в случаях:</w:t>
      </w:r>
    </w:p>
    <w:p w14:paraId="4100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вмешательства в зону операции или ортопедическую конструкцию со стороны другого медицинского учреждения без согласования с лечащим врачом Клиники.</w:t>
      </w:r>
    </w:p>
    <w:p w14:paraId="4200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5.3. Гарантия не распро</w:t>
      </w:r>
      <w:r>
        <w:rPr>
          <w:rFonts w:ascii="Arial" w:hAnsi="Arial"/>
          <w:color w:val="000000"/>
          <w:sz w:val="20"/>
        </w:rPr>
        <w:t>страняется на:</w:t>
      </w:r>
    </w:p>
    <w:p w14:paraId="43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операции </w:t>
      </w:r>
      <w:r>
        <w:rPr>
          <w:rFonts w:ascii="Arial" w:hAnsi="Arial"/>
          <w:color w:val="000000"/>
          <w:sz w:val="20"/>
        </w:rPr>
        <w:t>остеопластики</w:t>
      </w:r>
      <w:r>
        <w:rPr>
          <w:rFonts w:ascii="Arial" w:hAnsi="Arial"/>
          <w:color w:val="000000"/>
          <w:sz w:val="20"/>
        </w:rPr>
        <w:t xml:space="preserve"> (костную пластику, синус-</w:t>
      </w:r>
      <w:r>
        <w:rPr>
          <w:rFonts w:ascii="Arial" w:hAnsi="Arial"/>
          <w:color w:val="000000"/>
          <w:sz w:val="20"/>
        </w:rPr>
        <w:t>лифтинг</w:t>
      </w:r>
      <w:r>
        <w:rPr>
          <w:rFonts w:ascii="Arial" w:hAnsi="Arial"/>
          <w:color w:val="000000"/>
          <w:sz w:val="20"/>
        </w:rPr>
        <w:t>), пластику мягких тканей — ввиду биологической природы процессов регенерации; </w:t>
      </w:r>
    </w:p>
    <w:p w14:paraId="44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естественные возрастные изменения тканей полости рта;</w:t>
      </w:r>
    </w:p>
    <w:p w14:paraId="45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изменение цвета</w:t>
      </w:r>
      <w:r>
        <w:rPr>
          <w:rFonts w:ascii="Arial" w:hAnsi="Arial"/>
          <w:color w:val="000000"/>
          <w:sz w:val="20"/>
        </w:rPr>
        <w:t xml:space="preserve"> пломб, реставраций, </w:t>
      </w:r>
      <w:r>
        <w:rPr>
          <w:rFonts w:ascii="Arial" w:hAnsi="Arial"/>
          <w:color w:val="000000"/>
          <w:sz w:val="20"/>
        </w:rPr>
        <w:t>ортопедических конструкций, вызванно</w:t>
      </w:r>
      <w:r>
        <w:rPr>
          <w:rFonts w:ascii="Arial" w:hAnsi="Arial"/>
          <w:color w:val="000000"/>
          <w:sz w:val="20"/>
        </w:rPr>
        <w:t>е внешними факторами (курение, пищевые красители, напитки);</w:t>
      </w:r>
    </w:p>
    <w:p w14:paraId="46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адаптационные явления (дискомфорт при привыкании к протезу), не связанные с дефектом оказания услуги.</w:t>
      </w:r>
    </w:p>
    <w:p w14:paraId="47000000">
      <w:pPr>
        <w:spacing w:after="480" w:before="480"/>
        <w:ind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inline>
                <wp:extent cx="0" cy="19050"/>
                <wp:docPr hidden="false" id="5" name="Picture 5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48000000">
      <w:pPr>
        <w:spacing w:after="120" w:before="300" w:line="420" w:lineRule="atLeast"/>
        <w:ind/>
        <w:outlineLvl w:val="2"/>
        <w:rPr>
          <w:rFonts w:ascii="Arial" w:hAnsi="Arial"/>
          <w:b w:val="1"/>
          <w:color w:val="000000"/>
          <w:sz w:val="24"/>
        </w:rPr>
      </w:pPr>
      <w:r>
        <w:rPr>
          <w:rFonts w:ascii="Arial" w:hAnsi="Arial"/>
          <w:b w:val="1"/>
          <w:color w:val="000000"/>
          <w:sz w:val="24"/>
        </w:rPr>
        <w:t>6. Гарантийные сроки и сроки службы по видам медицинских услуг</w:t>
      </w:r>
    </w:p>
    <w:p w14:paraId="49000000">
      <w:pPr>
        <w:rPr>
          <w:rFonts w:ascii="Calibri" w:hAnsi="Calibri"/>
          <w:b w:val="1"/>
          <w:sz w:val="24"/>
        </w:rPr>
      </w:pPr>
      <w:r>
        <w:rPr>
          <w:rFonts w:ascii="Calibri" w:hAnsi="Calibri"/>
          <w:b w:val="1"/>
          <w:sz w:val="24"/>
        </w:rPr>
        <w:t xml:space="preserve"> </w:t>
      </w:r>
      <w:r>
        <w:rPr>
          <w:rFonts w:ascii="Calibri" w:hAnsi="Calibri"/>
          <w:b w:val="1"/>
          <w:sz w:val="20"/>
        </w:rPr>
        <w:t xml:space="preserve">6.1 </w:t>
      </w:r>
      <w:r>
        <w:rPr>
          <w:rFonts w:ascii="Calibri" w:hAnsi="Calibri"/>
          <w:b w:val="1"/>
          <w:sz w:val="24"/>
        </w:rPr>
        <w:t>Г</w:t>
      </w:r>
      <w:r>
        <w:rPr>
          <w:rFonts w:ascii="Calibri" w:hAnsi="Calibri"/>
          <w:b w:val="1"/>
          <w:sz w:val="24"/>
        </w:rPr>
        <w:t>арантийные сроки и сроки службы по стоматологии терапевтической:</w:t>
      </w:r>
    </w:p>
    <w:p w14:paraId="4A000000">
      <w:pPr>
        <w:rPr>
          <w:rFonts w:ascii="Calibri" w:hAnsi="Calibri"/>
          <w:sz w:val="24"/>
        </w:rPr>
      </w:pPr>
    </w:p>
    <w:tbl>
      <w:tblPr>
        <w:tblStyle w:val="Style_1"/>
        <w:tblW w:type="auto" w:w="0"/>
        <w:tblLayout w:type="fixed"/>
      </w:tblPr>
      <w:tblGrid>
        <w:gridCol w:w="5489"/>
        <w:gridCol w:w="1595"/>
        <w:gridCol w:w="1438"/>
      </w:tblGrid>
      <w:tr>
        <w:tc>
          <w:tcPr>
            <w:tcW w:type="dxa" w:w="5489"/>
          </w:tcPr>
          <w:p w14:paraId="4B000000">
            <w:pPr>
              <w:rPr>
                <w:rFonts w:ascii="Calibri" w:hAnsi="Calibri"/>
                <w:b w:val="1"/>
                <w:sz w:val="24"/>
              </w:rPr>
            </w:pPr>
            <w:r>
              <w:rPr>
                <w:rFonts w:ascii="Calibri" w:hAnsi="Calibri"/>
                <w:b w:val="1"/>
                <w:sz w:val="24"/>
              </w:rPr>
              <w:t>Номер и наименование услуги:</w:t>
            </w:r>
          </w:p>
        </w:tc>
        <w:tc>
          <w:tcPr>
            <w:tcW w:type="dxa" w:w="1595"/>
          </w:tcPr>
          <w:p w14:paraId="4C000000">
            <w:pPr>
              <w:rPr>
                <w:rFonts w:ascii="Calibri" w:hAnsi="Calibri"/>
                <w:b w:val="1"/>
                <w:sz w:val="24"/>
              </w:rPr>
            </w:pPr>
            <w:r>
              <w:rPr>
                <w:rFonts w:ascii="Calibri" w:hAnsi="Calibri"/>
                <w:b w:val="1"/>
                <w:sz w:val="24"/>
              </w:rPr>
              <w:t>Срок гарантии</w:t>
            </w:r>
          </w:p>
        </w:tc>
        <w:tc>
          <w:tcPr>
            <w:tcW w:type="dxa" w:w="1438"/>
          </w:tcPr>
          <w:p w14:paraId="4D000000">
            <w:pPr>
              <w:rPr>
                <w:rFonts w:ascii="Calibri" w:hAnsi="Calibri"/>
                <w:b w:val="1"/>
                <w:sz w:val="24"/>
              </w:rPr>
            </w:pPr>
            <w:r>
              <w:rPr>
                <w:rFonts w:ascii="Calibri" w:hAnsi="Calibri"/>
                <w:b w:val="1"/>
                <w:sz w:val="24"/>
              </w:rPr>
              <w:t>Срок службы</w:t>
            </w:r>
          </w:p>
        </w:tc>
      </w:tr>
      <w:tr>
        <w:tc>
          <w:tcPr>
            <w:tcW w:type="dxa" w:w="5489"/>
          </w:tcPr>
          <w:p w14:paraId="4E00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 xml:space="preserve">1.Лечение поверхностного кариеса и </w:t>
            </w:r>
            <w:r>
              <w:rPr>
                <w:rFonts w:ascii="Calibri" w:hAnsi="Calibri"/>
                <w:sz w:val="24"/>
              </w:rPr>
              <w:t>некариозных</w:t>
            </w:r>
            <w:r>
              <w:rPr>
                <w:rFonts w:ascii="Calibri" w:hAnsi="Calibri"/>
                <w:sz w:val="24"/>
              </w:rPr>
              <w:t xml:space="preserve"> поражений зуба</w:t>
            </w:r>
          </w:p>
        </w:tc>
        <w:tc>
          <w:tcPr>
            <w:tcW w:type="dxa" w:w="1595"/>
          </w:tcPr>
          <w:p w14:paraId="4F00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1 год</w:t>
            </w:r>
          </w:p>
        </w:tc>
        <w:tc>
          <w:tcPr>
            <w:tcW w:type="dxa" w:w="1438"/>
          </w:tcPr>
          <w:p w14:paraId="5000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2 года</w:t>
            </w:r>
          </w:p>
        </w:tc>
      </w:tr>
      <w:tr>
        <w:tc>
          <w:tcPr>
            <w:tcW w:type="dxa" w:w="5489"/>
          </w:tcPr>
          <w:p w14:paraId="5100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 xml:space="preserve">2.Лечение среднего кариеса (постановка пломбы,  </w:t>
            </w:r>
            <w:r>
              <w:rPr>
                <w:rFonts w:ascii="Calibri" w:hAnsi="Calibri"/>
                <w:sz w:val="24"/>
              </w:rPr>
              <w:t>I</w:t>
            </w:r>
            <w:r>
              <w:rPr>
                <w:rFonts w:ascii="Calibri" w:hAnsi="Calibri"/>
                <w:sz w:val="24"/>
              </w:rPr>
              <w:t xml:space="preserve"> класс по </w:t>
            </w:r>
            <w:r>
              <w:rPr>
                <w:rFonts w:ascii="Calibri" w:hAnsi="Calibri"/>
                <w:sz w:val="24"/>
              </w:rPr>
              <w:t>Блэку</w:t>
            </w:r>
            <w:r>
              <w:rPr>
                <w:rFonts w:ascii="Calibri" w:hAnsi="Calibri"/>
                <w:sz w:val="24"/>
              </w:rPr>
              <w:t>)</w:t>
            </w:r>
          </w:p>
        </w:tc>
        <w:tc>
          <w:tcPr>
            <w:tcW w:type="dxa" w:w="1595"/>
          </w:tcPr>
          <w:p w14:paraId="5200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1 год</w:t>
            </w:r>
          </w:p>
        </w:tc>
        <w:tc>
          <w:tcPr>
            <w:tcW w:type="dxa" w:w="1438"/>
          </w:tcPr>
          <w:p w14:paraId="5300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2 года</w:t>
            </w:r>
          </w:p>
        </w:tc>
      </w:tr>
      <w:tr>
        <w:tc>
          <w:tcPr>
            <w:tcW w:type="dxa" w:w="5489"/>
          </w:tcPr>
          <w:p w14:paraId="5400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 xml:space="preserve">3.Лечение среднего ( кариеса </w:t>
            </w:r>
            <w:r>
              <w:rPr>
                <w:rFonts w:ascii="Calibri" w:hAnsi="Calibri"/>
                <w:sz w:val="24"/>
              </w:rPr>
              <w:t>II</w:t>
            </w:r>
            <w:r>
              <w:rPr>
                <w:rFonts w:ascii="Calibri" w:hAnsi="Calibri"/>
                <w:sz w:val="24"/>
              </w:rPr>
              <w:t xml:space="preserve">, </w:t>
            </w:r>
            <w:r>
              <w:rPr>
                <w:rFonts w:ascii="Calibri" w:hAnsi="Calibri"/>
                <w:sz w:val="24"/>
              </w:rPr>
              <w:t>III</w:t>
            </w:r>
            <w:r>
              <w:rPr>
                <w:rFonts w:ascii="Calibri" w:hAnsi="Calibri"/>
                <w:sz w:val="24"/>
              </w:rPr>
              <w:t xml:space="preserve">, </w:t>
            </w:r>
            <w:r>
              <w:rPr>
                <w:rFonts w:ascii="Calibri" w:hAnsi="Calibri"/>
                <w:sz w:val="24"/>
              </w:rPr>
              <w:t>IV</w:t>
            </w:r>
            <w:r>
              <w:rPr>
                <w:rFonts w:ascii="Calibri" w:hAnsi="Calibri"/>
                <w:sz w:val="24"/>
              </w:rPr>
              <w:t xml:space="preserve">, </w:t>
            </w:r>
            <w:r>
              <w:rPr>
                <w:rFonts w:ascii="Calibri" w:hAnsi="Calibri"/>
                <w:sz w:val="24"/>
              </w:rPr>
              <w:t>V</w:t>
            </w:r>
            <w:r>
              <w:rPr>
                <w:rFonts w:ascii="Calibri" w:hAnsi="Calibri"/>
                <w:sz w:val="24"/>
              </w:rPr>
              <w:t xml:space="preserve"> класс по </w:t>
            </w:r>
            <w:r>
              <w:rPr>
                <w:rFonts w:ascii="Calibri" w:hAnsi="Calibri"/>
                <w:sz w:val="24"/>
              </w:rPr>
              <w:t>Блэку</w:t>
            </w:r>
            <w:r>
              <w:rPr>
                <w:rFonts w:ascii="Calibri" w:hAnsi="Calibri"/>
                <w:sz w:val="24"/>
              </w:rPr>
              <w:t>)</w:t>
            </w:r>
          </w:p>
        </w:tc>
        <w:tc>
          <w:tcPr>
            <w:tcW w:type="dxa" w:w="1595"/>
          </w:tcPr>
          <w:p w14:paraId="5500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1 год</w:t>
            </w:r>
          </w:p>
        </w:tc>
        <w:tc>
          <w:tcPr>
            <w:tcW w:type="dxa" w:w="1438"/>
          </w:tcPr>
          <w:p w14:paraId="5600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1,5 года</w:t>
            </w:r>
          </w:p>
        </w:tc>
      </w:tr>
      <w:tr>
        <w:tc>
          <w:tcPr>
            <w:tcW w:type="dxa" w:w="5489"/>
          </w:tcPr>
          <w:p w14:paraId="57000000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Лечение глубокого кариеса</w:t>
            </w:r>
          </w:p>
        </w:tc>
        <w:tc>
          <w:tcPr>
            <w:tcW w:type="dxa" w:w="1595"/>
          </w:tcPr>
          <w:p w14:paraId="5800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6 месяцев</w:t>
            </w:r>
          </w:p>
        </w:tc>
        <w:tc>
          <w:tcPr>
            <w:tcW w:type="dxa" w:w="1438"/>
          </w:tcPr>
          <w:p w14:paraId="5900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1 год</w:t>
            </w:r>
          </w:p>
        </w:tc>
      </w:tr>
      <w:tr>
        <w:tc>
          <w:tcPr>
            <w:tcW w:type="dxa" w:w="5489"/>
          </w:tcPr>
          <w:p w14:paraId="5A00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6.Эндодонтическое лечение корневых каналов</w:t>
            </w:r>
          </w:p>
        </w:tc>
        <w:tc>
          <w:tcPr>
            <w:tcW w:type="dxa" w:w="1595"/>
          </w:tcPr>
          <w:p w14:paraId="5B00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-----------</w:t>
            </w:r>
          </w:p>
        </w:tc>
        <w:tc>
          <w:tcPr>
            <w:tcW w:type="dxa" w:w="1438"/>
          </w:tcPr>
          <w:p w14:paraId="5C00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------------</w:t>
            </w:r>
          </w:p>
        </w:tc>
      </w:tr>
      <w:tr>
        <w:tc>
          <w:tcPr>
            <w:tcW w:type="dxa" w:w="5489"/>
          </w:tcPr>
          <w:p w14:paraId="5D00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 xml:space="preserve">7.Эстетическая реставрация фронтальных зубов </w:t>
            </w:r>
          </w:p>
        </w:tc>
        <w:tc>
          <w:tcPr>
            <w:tcW w:type="dxa" w:w="1595"/>
          </w:tcPr>
          <w:p w14:paraId="5E00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1 год</w:t>
            </w:r>
          </w:p>
        </w:tc>
        <w:tc>
          <w:tcPr>
            <w:tcW w:type="dxa" w:w="1438"/>
          </w:tcPr>
          <w:p w14:paraId="5F00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1,5 года</w:t>
            </w:r>
          </w:p>
        </w:tc>
      </w:tr>
      <w:tr>
        <w:tc>
          <w:tcPr>
            <w:tcW w:type="dxa" w:w="5489"/>
          </w:tcPr>
          <w:p w14:paraId="6000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8.Временная пломба</w:t>
            </w:r>
          </w:p>
        </w:tc>
        <w:tc>
          <w:tcPr>
            <w:tcW w:type="dxa" w:w="1595"/>
          </w:tcPr>
          <w:p w14:paraId="6100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14 дней</w:t>
            </w:r>
          </w:p>
        </w:tc>
        <w:tc>
          <w:tcPr>
            <w:tcW w:type="dxa" w:w="1438"/>
          </w:tcPr>
          <w:p w14:paraId="6200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1 месяц</w:t>
            </w:r>
          </w:p>
        </w:tc>
      </w:tr>
      <w:tr>
        <w:tc>
          <w:tcPr>
            <w:tcW w:type="dxa" w:w="5489"/>
          </w:tcPr>
          <w:p w14:paraId="6300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 xml:space="preserve">9.Герметизация </w:t>
            </w:r>
            <w:r>
              <w:rPr>
                <w:rFonts w:ascii="Calibri" w:hAnsi="Calibri"/>
                <w:sz w:val="24"/>
              </w:rPr>
              <w:t>фиссур</w:t>
            </w:r>
            <w:r>
              <w:rPr>
                <w:rFonts w:ascii="Calibri" w:hAnsi="Calibri"/>
                <w:sz w:val="24"/>
              </w:rPr>
              <w:t xml:space="preserve"> постоянного зуба</w:t>
            </w:r>
          </w:p>
        </w:tc>
        <w:tc>
          <w:tcPr>
            <w:tcW w:type="dxa" w:w="1595"/>
          </w:tcPr>
          <w:p w14:paraId="6400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6 месяцев</w:t>
            </w:r>
          </w:p>
        </w:tc>
        <w:tc>
          <w:tcPr>
            <w:tcW w:type="dxa" w:w="1438"/>
          </w:tcPr>
          <w:p w14:paraId="6500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1 год</w:t>
            </w:r>
          </w:p>
        </w:tc>
      </w:tr>
      <w:tr>
        <w:tc>
          <w:tcPr>
            <w:tcW w:type="dxa" w:w="5489"/>
          </w:tcPr>
          <w:p w14:paraId="6600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10.Культя зуба под коронку</w:t>
            </w:r>
          </w:p>
        </w:tc>
        <w:tc>
          <w:tcPr>
            <w:tcW w:type="dxa" w:w="1595"/>
          </w:tcPr>
          <w:p w14:paraId="6700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6 месяцев</w:t>
            </w:r>
          </w:p>
        </w:tc>
        <w:tc>
          <w:tcPr>
            <w:tcW w:type="dxa" w:w="1438"/>
          </w:tcPr>
          <w:p w14:paraId="6800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1 год</w:t>
            </w:r>
          </w:p>
        </w:tc>
      </w:tr>
    </w:tbl>
    <w:p w14:paraId="69000000">
      <w:pPr>
        <w:rPr>
          <w:rFonts w:ascii="Calibri" w:hAnsi="Calibri"/>
          <w:b w:val="1"/>
          <w:sz w:val="24"/>
        </w:rPr>
      </w:pPr>
    </w:p>
    <w:p w14:paraId="6A000000">
      <w:pPr>
        <w:rPr>
          <w:rFonts w:ascii="Calibri" w:hAnsi="Calibri"/>
          <w:sz w:val="24"/>
        </w:rPr>
      </w:pPr>
      <w:r>
        <w:rPr>
          <w:rFonts w:ascii="Calibri" w:hAnsi="Calibri"/>
          <w:b w:val="1"/>
          <w:sz w:val="24"/>
        </w:rPr>
        <w:t xml:space="preserve">Примечание: </w:t>
      </w:r>
      <w:r>
        <w:rPr>
          <w:rFonts w:ascii="Calibri" w:hAnsi="Calibri"/>
          <w:sz w:val="24"/>
        </w:rPr>
        <w:t>Эндодонтическое лечение не имеет установленного гарантийного срока в связи с высокой степенью риска осложнений.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>Опыт Клиники показывает,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>что благоприятный результат достигается в 85-90% случаев.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>Результат зависит не только от качества лечения,</w:t>
      </w:r>
      <w:r>
        <w:rPr>
          <w:rFonts w:ascii="Calibri" w:hAnsi="Calibri"/>
          <w:sz w:val="24"/>
        </w:rPr>
        <w:t xml:space="preserve"> но и от </w:t>
      </w:r>
      <w:r>
        <w:rPr>
          <w:rFonts w:ascii="Calibri" w:hAnsi="Calibri"/>
          <w:sz w:val="24"/>
        </w:rPr>
        <w:t xml:space="preserve">индивидуальных </w:t>
      </w:r>
      <w:r>
        <w:rPr>
          <w:rFonts w:ascii="Calibri" w:hAnsi="Calibri"/>
          <w:sz w:val="24"/>
        </w:rPr>
        <w:t>особенностей</w:t>
      </w:r>
      <w:r>
        <w:rPr>
          <w:rFonts w:ascii="Calibri" w:hAnsi="Calibri"/>
          <w:sz w:val="24"/>
        </w:rPr>
        <w:t xml:space="preserve"> организма.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>При возникновении осложнений, после эндодонтического лечения дальнейшее лечение п</w:t>
      </w:r>
      <w:r>
        <w:rPr>
          <w:rFonts w:ascii="Calibri" w:hAnsi="Calibri"/>
          <w:sz w:val="24"/>
        </w:rPr>
        <w:t>роводится на возмездной основе, р</w:t>
      </w:r>
      <w:r>
        <w:rPr>
          <w:rFonts w:ascii="Calibri" w:hAnsi="Calibri"/>
          <w:sz w:val="24"/>
        </w:rPr>
        <w:t>анее поставленная пломба заменяется бесплатно (если гарантийный срок не истек).</w:t>
      </w:r>
    </w:p>
    <w:p w14:paraId="6B000000">
      <w:pPr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Лечащий врач</w:t>
      </w:r>
      <w:r>
        <w:rPr>
          <w:rFonts w:ascii="Calibri" w:hAnsi="Calibri"/>
          <w:sz w:val="24"/>
        </w:rPr>
        <w:t xml:space="preserve"> вправе установить сокращенный </w:t>
      </w:r>
      <w:r>
        <w:rPr>
          <w:rFonts w:ascii="Calibri" w:hAnsi="Calibri"/>
          <w:sz w:val="24"/>
        </w:rPr>
        <w:t xml:space="preserve">или увеличенный  </w:t>
      </w:r>
    </w:p>
    <w:p w14:paraId="6C000000">
      <w:pPr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гарантийный срок с учетом клинической ситуации,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 xml:space="preserve">отклонение от базовых сроков </w:t>
      </w:r>
      <w:r>
        <w:rPr>
          <w:rFonts w:ascii="Calibri" w:hAnsi="Calibri"/>
          <w:sz w:val="24"/>
        </w:rPr>
        <w:t>(</w:t>
      </w:r>
      <w:r>
        <w:rPr>
          <w:rFonts w:ascii="Calibri" w:hAnsi="Calibri"/>
          <w:sz w:val="24"/>
        </w:rPr>
        <w:t>фиксируется в медицинской карте</w:t>
      </w:r>
      <w:r>
        <w:rPr>
          <w:rFonts w:ascii="Calibri" w:hAnsi="Calibri"/>
          <w:sz w:val="24"/>
        </w:rPr>
        <w:t>).</w:t>
      </w:r>
    </w:p>
    <w:p w14:paraId="6D000000">
      <w:pPr>
        <w:rPr>
          <w:rFonts w:ascii="Calibri" w:hAnsi="Calibri"/>
          <w:b w:val="1"/>
          <w:sz w:val="24"/>
        </w:rPr>
      </w:pPr>
    </w:p>
    <w:p w14:paraId="6E000000">
      <w:pPr>
        <w:rPr>
          <w:rFonts w:ascii="Calibri" w:hAnsi="Calibri"/>
          <w:b w:val="1"/>
          <w:sz w:val="24"/>
        </w:rPr>
      </w:pPr>
      <w:r>
        <w:rPr>
          <w:rFonts w:ascii="Calibri" w:hAnsi="Calibri"/>
          <w:b w:val="1"/>
          <w:sz w:val="24"/>
        </w:rPr>
        <w:t>Условия сохранения гарантии:</w:t>
      </w:r>
    </w:p>
    <w:p w14:paraId="6F000000">
      <w:pPr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Гарантия сохраняется при соблюдении Пациентом следующих условий:</w:t>
      </w:r>
    </w:p>
    <w:p w14:paraId="70000000">
      <w:pPr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Р</w:t>
      </w:r>
      <w:r>
        <w:rPr>
          <w:rFonts w:ascii="Calibri" w:hAnsi="Calibri"/>
          <w:sz w:val="24"/>
        </w:rPr>
        <w:t>егулярная гигиена полости рта (</w:t>
      </w:r>
      <w:r>
        <w:rPr>
          <w:rFonts w:ascii="Calibri" w:hAnsi="Calibri"/>
          <w:sz w:val="24"/>
        </w:rPr>
        <w:t>с гигиеническим индексом не более 1,5;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 xml:space="preserve">прохождением контрольных осмотров, рекомендованных врачом </w:t>
      </w:r>
      <w:r>
        <w:rPr>
          <w:rFonts w:ascii="Calibri" w:hAnsi="Calibri"/>
          <w:sz w:val="24"/>
        </w:rPr>
        <w:t>(как правило - раз в 6 месяцев)</w:t>
      </w:r>
      <w:r>
        <w:rPr>
          <w:rFonts w:ascii="Calibri" w:hAnsi="Calibri"/>
          <w:sz w:val="24"/>
        </w:rPr>
        <w:t xml:space="preserve">; выполнение рекомендаций врача </w:t>
      </w:r>
      <w:r>
        <w:rPr>
          <w:rFonts w:ascii="Calibri" w:hAnsi="Calibri"/>
          <w:sz w:val="24"/>
        </w:rPr>
        <w:t xml:space="preserve">по уходу; своевременная замена </w:t>
      </w:r>
      <w:r>
        <w:rPr>
          <w:rFonts w:ascii="Calibri" w:hAnsi="Calibri"/>
          <w:sz w:val="24"/>
        </w:rPr>
        <w:t>временных пломб и конструкций на постоянные; соблюдение рекомендованного плана лечения в полном объеме.</w:t>
      </w:r>
    </w:p>
    <w:p w14:paraId="71000000">
      <w:pPr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 При несоблюдении данных реко</w:t>
      </w:r>
      <w:r>
        <w:rPr>
          <w:rFonts w:ascii="Calibri" w:hAnsi="Calibri"/>
          <w:sz w:val="24"/>
        </w:rPr>
        <w:t>мендаций, гарантийный срок</w:t>
      </w:r>
      <w:r>
        <w:rPr>
          <w:rFonts w:ascii="Calibri" w:hAnsi="Calibri"/>
          <w:sz w:val="24"/>
        </w:rPr>
        <w:t xml:space="preserve"> и срок службы сокращается на 50%.</w:t>
      </w:r>
    </w:p>
    <w:p w14:paraId="72000000">
      <w:pPr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 При показателе КПУ (</w:t>
      </w:r>
      <w:r>
        <w:rPr>
          <w:rFonts w:ascii="Calibri" w:hAnsi="Calibri"/>
          <w:sz w:val="24"/>
        </w:rPr>
        <w:t>кариозно</w:t>
      </w:r>
      <w:r>
        <w:rPr>
          <w:rFonts w:ascii="Calibri" w:hAnsi="Calibri"/>
          <w:sz w:val="24"/>
        </w:rPr>
        <w:t>-пораженные,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>пломбированные,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>удаленные зубы)</w:t>
      </w:r>
      <w:r>
        <w:rPr>
          <w:rFonts w:ascii="Calibri" w:hAnsi="Calibri"/>
          <w:sz w:val="24"/>
        </w:rPr>
        <w:t xml:space="preserve">: гарантийные сроки уменьшаются: индекс КПУ 13-18-срок гарантии и срок службы </w:t>
      </w:r>
      <w:r>
        <w:rPr>
          <w:rFonts w:ascii="Calibri" w:hAnsi="Calibri"/>
          <w:sz w:val="24"/>
        </w:rPr>
        <w:t>снижаются на 30%; индекс КПУ свыше 18-срок гарантии и срок службы снижаются на 50%.</w:t>
      </w:r>
    </w:p>
    <w:p w14:paraId="73000000">
      <w:pPr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При невыполнении рекомендованного плана лечения гарантийные сроки не устанавливаются.</w:t>
      </w:r>
    </w:p>
    <w:p w14:paraId="74000000">
      <w:pPr>
        <w:rPr>
          <w:rFonts w:ascii="Calibri" w:hAnsi="Calibri"/>
          <w:b w:val="1"/>
          <w:sz w:val="24"/>
        </w:rPr>
      </w:pPr>
      <w:r>
        <w:rPr>
          <w:rFonts w:ascii="Calibri" w:hAnsi="Calibri"/>
          <w:b w:val="1"/>
          <w:sz w:val="24"/>
        </w:rPr>
        <w:t xml:space="preserve"> Случаи, н</w:t>
      </w:r>
      <w:r>
        <w:rPr>
          <w:rFonts w:ascii="Calibri" w:hAnsi="Calibri"/>
          <w:b w:val="1"/>
          <w:sz w:val="24"/>
        </w:rPr>
        <w:t>а которые гар</w:t>
      </w:r>
      <w:r>
        <w:rPr>
          <w:rFonts w:ascii="Calibri" w:hAnsi="Calibri"/>
          <w:b w:val="1"/>
          <w:sz w:val="24"/>
        </w:rPr>
        <w:t>антия не распространяется:</w:t>
      </w:r>
    </w:p>
    <w:p w14:paraId="75000000">
      <w:pPr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на с</w:t>
      </w:r>
      <w:r>
        <w:rPr>
          <w:rFonts w:ascii="Calibri" w:hAnsi="Calibri"/>
          <w:sz w:val="24"/>
        </w:rPr>
        <w:t>лучаи,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>если Пациент обращается за стоматологической помощью (лечением,</w:t>
      </w:r>
      <w:r>
        <w:rPr>
          <w:rFonts w:ascii="Calibri" w:hAnsi="Calibri"/>
          <w:sz w:val="24"/>
        </w:rPr>
        <w:t xml:space="preserve">   к</w:t>
      </w:r>
      <w:r>
        <w:rPr>
          <w:rFonts w:ascii="Calibri" w:hAnsi="Calibri"/>
          <w:sz w:val="24"/>
        </w:rPr>
        <w:t>оррекцией) в другие клиники в отношении зубов,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>на которые установлен гарантийный срок в ООО «</w:t>
      </w:r>
      <w:r>
        <w:rPr>
          <w:rFonts w:ascii="Calibri" w:hAnsi="Calibri"/>
          <w:sz w:val="24"/>
        </w:rPr>
        <w:t>Эстедент</w:t>
      </w:r>
      <w:r>
        <w:rPr>
          <w:rFonts w:ascii="Calibri" w:hAnsi="Calibri"/>
          <w:sz w:val="24"/>
        </w:rPr>
        <w:t xml:space="preserve"> плюс (за исключением экстренной помощи  в другом городе) ; самостоятельной коррекции Пациента устранить недостатки; травмы ( бытовой,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>спортивной, производственной,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>ДТП);наличия у П</w:t>
      </w:r>
      <w:r>
        <w:rPr>
          <w:rFonts w:ascii="Calibri" w:hAnsi="Calibri"/>
          <w:sz w:val="24"/>
        </w:rPr>
        <w:t xml:space="preserve">ациента </w:t>
      </w:r>
      <w:r>
        <w:rPr>
          <w:rFonts w:ascii="Calibri" w:hAnsi="Calibri"/>
          <w:sz w:val="24"/>
        </w:rPr>
        <w:t>бруксизма</w:t>
      </w:r>
      <w:r>
        <w:rPr>
          <w:rFonts w:ascii="Calibri" w:hAnsi="Calibri"/>
          <w:sz w:val="24"/>
        </w:rPr>
        <w:t xml:space="preserve"> ( с</w:t>
      </w:r>
      <w:r>
        <w:rPr>
          <w:rFonts w:ascii="Calibri" w:hAnsi="Calibri"/>
          <w:sz w:val="24"/>
        </w:rPr>
        <w:t>крежетания  зубов); наличия тяже</w:t>
      </w:r>
      <w:r>
        <w:rPr>
          <w:rFonts w:ascii="Calibri" w:hAnsi="Calibri"/>
          <w:sz w:val="24"/>
        </w:rPr>
        <w:t>лой соматической патологии у Пациента - сахарный диабет,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>онкозаболевания</w:t>
      </w:r>
      <w:r>
        <w:rPr>
          <w:rFonts w:ascii="Calibri" w:hAnsi="Calibri"/>
          <w:sz w:val="24"/>
        </w:rPr>
        <w:t xml:space="preserve"> и т д ),при которых сроки могут быть уменьшены.</w:t>
      </w:r>
    </w:p>
    <w:p w14:paraId="76000000">
      <w:pPr>
        <w:spacing w:after="120" w:before="120" w:line="420" w:lineRule="atLeast"/>
        <w:ind/>
        <w:rPr>
          <w:rFonts w:ascii="Arial" w:hAnsi="Arial"/>
          <w:b w:val="1"/>
          <w:color w:val="000000"/>
          <w:sz w:val="20"/>
        </w:rPr>
      </w:pPr>
    </w:p>
    <w:p w14:paraId="77000000">
      <w:pPr>
        <w:spacing w:after="120" w:before="120" w:line="420" w:lineRule="atLeast"/>
        <w:ind/>
        <w:rPr>
          <w:rFonts w:ascii="Arial" w:hAnsi="Arial"/>
          <w:b w:val="1"/>
          <w:color w:val="000000"/>
          <w:sz w:val="20"/>
        </w:rPr>
      </w:pPr>
    </w:p>
    <w:p w14:paraId="78000000">
      <w:pPr>
        <w:spacing w:after="120" w:before="120" w:line="420" w:lineRule="atLeast"/>
        <w:ind/>
        <w:rPr>
          <w:rFonts w:ascii="Arial" w:hAnsi="Arial"/>
          <w:b w:val="1"/>
          <w:color w:val="000000"/>
          <w:sz w:val="20"/>
        </w:rPr>
      </w:pPr>
      <w:r>
        <w:rPr>
          <w:rFonts w:ascii="Arial" w:hAnsi="Arial"/>
          <w:b w:val="1"/>
          <w:color w:val="000000"/>
          <w:sz w:val="20"/>
        </w:rPr>
        <w:t xml:space="preserve"> </w:t>
      </w:r>
      <w:r>
        <w:rPr>
          <w:rFonts w:ascii="Arial" w:hAnsi="Arial"/>
          <w:b w:val="1"/>
          <w:color w:val="000000"/>
          <w:sz w:val="20"/>
        </w:rPr>
        <w:t xml:space="preserve">6.2 </w:t>
      </w:r>
      <w:r>
        <w:rPr>
          <w:rFonts w:ascii="Arial" w:hAnsi="Arial"/>
          <w:b w:val="1"/>
          <w:color w:val="000000"/>
          <w:sz w:val="20"/>
        </w:rPr>
        <w:t>Г</w:t>
      </w:r>
      <w:r>
        <w:rPr>
          <w:rFonts w:ascii="Arial" w:hAnsi="Arial"/>
          <w:b w:val="1"/>
          <w:color w:val="000000"/>
          <w:sz w:val="20"/>
        </w:rPr>
        <w:t>арантийные сроки и сроки службы по стоматологии ортопедической</w:t>
      </w:r>
    </w:p>
    <w:tbl>
      <w:tblPr>
        <w:tblStyle w:val="Style_2"/>
        <w:tblW w:type="auto" w:w="0"/>
        <w:tblLayout w:type="fixed"/>
      </w:tblPr>
      <w:tblGrid>
        <w:gridCol w:w="5652"/>
        <w:gridCol w:w="2022"/>
        <w:gridCol w:w="1670"/>
      </w:tblGrid>
      <w:tr>
        <w:tc>
          <w:tcPr>
            <w:tcW w:type="dxa" w:w="5652"/>
          </w:tcPr>
          <w:p w14:paraId="79000000">
            <w:pPr>
              <w:spacing w:after="120" w:before="300"/>
              <w:ind/>
              <w:outlineLvl w:val="2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 xml:space="preserve">            </w:t>
            </w:r>
            <w:r>
              <w:rPr>
                <w:rFonts w:ascii="Arial" w:hAnsi="Arial"/>
                <w:b w:val="1"/>
                <w:color w:val="000000"/>
                <w:sz w:val="20"/>
              </w:rPr>
              <w:t>Вид ортопедической работы</w:t>
            </w:r>
          </w:p>
        </w:tc>
        <w:tc>
          <w:tcPr>
            <w:tcW w:type="dxa" w:w="2022"/>
          </w:tcPr>
          <w:p w14:paraId="7A000000">
            <w:pPr>
              <w:spacing w:after="120" w:before="300"/>
              <w:ind/>
              <w:outlineLvl w:val="2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Гарантийный срок</w:t>
            </w:r>
          </w:p>
        </w:tc>
        <w:tc>
          <w:tcPr>
            <w:tcW w:type="dxa" w:w="1670"/>
          </w:tcPr>
          <w:p w14:paraId="7B000000">
            <w:pPr>
              <w:spacing w:after="120" w:before="300"/>
              <w:ind/>
              <w:outlineLvl w:val="2"/>
              <w:rPr>
                <w:rFonts w:ascii="Arial" w:hAnsi="Arial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Срок службы</w:t>
            </w:r>
          </w:p>
        </w:tc>
      </w:tr>
      <w:tr>
        <w:tc>
          <w:tcPr>
            <w:tcW w:type="dxa" w:w="5652"/>
          </w:tcPr>
          <w:p w14:paraId="7C000000">
            <w:pPr>
              <w:spacing w:after="120" w:before="300"/>
              <w:ind/>
              <w:outlineLvl w:val="2"/>
              <w:rPr>
                <w:rFonts w:ascii="Arial" w:hAnsi="Arial"/>
                <w:color w:val="000000"/>
                <w:sz w:val="20"/>
              </w:rPr>
            </w:pPr>
            <w:r>
              <w:rPr>
                <w:rFonts w:ascii="Arial" w:hAnsi="Arial"/>
                <w:color w:val="000000"/>
                <w:sz w:val="20"/>
              </w:rPr>
              <w:t>1.Несъемные конструкции на с</w:t>
            </w:r>
            <w:r>
              <w:rPr>
                <w:rFonts w:ascii="Arial" w:hAnsi="Arial"/>
                <w:color w:val="000000"/>
                <w:sz w:val="20"/>
              </w:rPr>
              <w:t>воих зубах (одиночные коронки ,мо</w:t>
            </w:r>
            <w:r>
              <w:rPr>
                <w:rFonts w:ascii="Arial" w:hAnsi="Arial"/>
                <w:color w:val="000000"/>
                <w:sz w:val="20"/>
              </w:rPr>
              <w:t>стовидные протезы)-металлокерамика</w:t>
            </w:r>
          </w:p>
        </w:tc>
        <w:tc>
          <w:tcPr>
            <w:tcW w:type="dxa" w:w="2022"/>
          </w:tcPr>
          <w:p w14:paraId="7D000000">
            <w:pPr>
              <w:spacing w:after="120" w:before="300"/>
              <w:ind/>
              <w:outlineLvl w:val="2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1 год</w:t>
            </w:r>
          </w:p>
        </w:tc>
        <w:tc>
          <w:tcPr>
            <w:tcW w:type="dxa" w:w="1670"/>
          </w:tcPr>
          <w:p w14:paraId="7E000000">
            <w:pPr>
              <w:spacing w:after="120" w:before="300"/>
              <w:ind/>
              <w:outlineLvl w:val="2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3 года</w:t>
            </w:r>
          </w:p>
        </w:tc>
      </w:tr>
      <w:tr>
        <w:tc>
          <w:tcPr>
            <w:tcW w:type="dxa" w:w="5652"/>
          </w:tcPr>
          <w:p w14:paraId="7F000000">
            <w:pPr>
              <w:spacing w:after="120" w:before="300"/>
              <w:ind/>
              <w:outlineLvl w:val="2"/>
              <w:rPr>
                <w:rFonts w:ascii="Arial" w:hAnsi="Arial"/>
                <w:color w:val="000000"/>
                <w:sz w:val="20"/>
              </w:rPr>
            </w:pPr>
            <w:r>
              <w:rPr>
                <w:rFonts w:ascii="Arial" w:hAnsi="Arial"/>
                <w:color w:val="000000"/>
                <w:sz w:val="20"/>
              </w:rPr>
              <w:t>2.Несъемные конструкции на своих зубах-диоксид циркония</w:t>
            </w:r>
          </w:p>
        </w:tc>
        <w:tc>
          <w:tcPr>
            <w:tcW w:type="dxa" w:w="2022"/>
          </w:tcPr>
          <w:p w14:paraId="80000000">
            <w:pPr>
              <w:spacing w:after="120" w:before="300"/>
              <w:ind/>
              <w:outlineLvl w:val="2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1 год</w:t>
            </w:r>
          </w:p>
        </w:tc>
        <w:tc>
          <w:tcPr>
            <w:tcW w:type="dxa" w:w="1670"/>
          </w:tcPr>
          <w:p w14:paraId="81000000">
            <w:pPr>
              <w:spacing w:after="120" w:before="300"/>
              <w:ind/>
              <w:outlineLvl w:val="2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5 лет</w:t>
            </w:r>
          </w:p>
        </w:tc>
      </w:tr>
      <w:tr>
        <w:tc>
          <w:tcPr>
            <w:tcW w:type="dxa" w:w="5652"/>
          </w:tcPr>
          <w:p w14:paraId="82000000">
            <w:pPr>
              <w:spacing w:after="120" w:before="300"/>
              <w:ind/>
              <w:outlineLvl w:val="2"/>
              <w:rPr>
                <w:rFonts w:ascii="Arial" w:hAnsi="Arial"/>
                <w:color w:val="000000"/>
                <w:sz w:val="20"/>
              </w:rPr>
            </w:pPr>
            <w:r>
              <w:rPr>
                <w:rFonts w:ascii="Arial" w:hAnsi="Arial"/>
                <w:color w:val="000000"/>
                <w:sz w:val="20"/>
              </w:rPr>
              <w:t xml:space="preserve">3.Виниры,цельнолитые </w:t>
            </w:r>
            <w:r>
              <w:rPr>
                <w:rFonts w:ascii="Arial" w:hAnsi="Arial"/>
                <w:color w:val="000000"/>
                <w:sz w:val="20"/>
              </w:rPr>
              <w:t>культивые</w:t>
            </w:r>
            <w:r>
              <w:rPr>
                <w:rFonts w:ascii="Arial" w:hAnsi="Arial"/>
                <w:color w:val="000000"/>
                <w:sz w:val="20"/>
              </w:rPr>
              <w:t xml:space="preserve"> вкладки</w:t>
            </w:r>
          </w:p>
        </w:tc>
        <w:tc>
          <w:tcPr>
            <w:tcW w:type="dxa" w:w="2022"/>
          </w:tcPr>
          <w:p w14:paraId="83000000">
            <w:pPr>
              <w:spacing w:after="120" w:before="300"/>
              <w:ind/>
              <w:outlineLvl w:val="2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 xml:space="preserve">1 год </w:t>
            </w:r>
          </w:p>
        </w:tc>
        <w:tc>
          <w:tcPr>
            <w:tcW w:type="dxa" w:w="1670"/>
          </w:tcPr>
          <w:p w14:paraId="84000000">
            <w:pPr>
              <w:spacing w:after="120" w:before="300"/>
              <w:ind/>
              <w:outlineLvl w:val="2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3 года</w:t>
            </w:r>
          </w:p>
        </w:tc>
      </w:tr>
      <w:tr>
        <w:tc>
          <w:tcPr>
            <w:tcW w:type="dxa" w:w="5652"/>
          </w:tcPr>
          <w:p w14:paraId="85000000">
            <w:pPr>
              <w:spacing w:after="120" w:before="300"/>
              <w:ind/>
              <w:outlineLvl w:val="2"/>
              <w:rPr>
                <w:rFonts w:ascii="Arial" w:hAnsi="Arial"/>
                <w:color w:val="000000"/>
                <w:sz w:val="20"/>
              </w:rPr>
            </w:pPr>
            <w:r>
              <w:rPr>
                <w:rFonts w:ascii="Arial" w:hAnsi="Arial"/>
                <w:color w:val="000000"/>
                <w:sz w:val="20"/>
              </w:rPr>
              <w:t>4.Съемные пластиночные протезы</w:t>
            </w:r>
          </w:p>
        </w:tc>
        <w:tc>
          <w:tcPr>
            <w:tcW w:type="dxa" w:w="2022"/>
          </w:tcPr>
          <w:p w14:paraId="86000000">
            <w:pPr>
              <w:spacing w:after="120" w:before="300"/>
              <w:ind/>
              <w:outlineLvl w:val="2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9 месяцев</w:t>
            </w:r>
          </w:p>
        </w:tc>
        <w:tc>
          <w:tcPr>
            <w:tcW w:type="dxa" w:w="1670"/>
          </w:tcPr>
          <w:p w14:paraId="87000000">
            <w:pPr>
              <w:spacing w:after="120" w:before="300"/>
              <w:ind/>
              <w:outlineLvl w:val="2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2 года</w:t>
            </w:r>
          </w:p>
        </w:tc>
      </w:tr>
      <w:tr>
        <w:tc>
          <w:tcPr>
            <w:tcW w:type="dxa" w:w="5652"/>
          </w:tcPr>
          <w:p w14:paraId="88000000">
            <w:pPr>
              <w:spacing w:after="120" w:before="300"/>
              <w:ind/>
              <w:outlineLvl w:val="2"/>
              <w:rPr>
                <w:rFonts w:ascii="Arial" w:hAnsi="Arial"/>
                <w:color w:val="000000"/>
                <w:sz w:val="20"/>
              </w:rPr>
            </w:pPr>
            <w:r>
              <w:rPr>
                <w:rFonts w:ascii="Arial" w:hAnsi="Arial"/>
                <w:color w:val="000000"/>
                <w:sz w:val="20"/>
              </w:rPr>
              <w:t>5.Бюгельные протезы</w:t>
            </w:r>
          </w:p>
        </w:tc>
        <w:tc>
          <w:tcPr>
            <w:tcW w:type="dxa" w:w="2022"/>
          </w:tcPr>
          <w:p w14:paraId="89000000">
            <w:pPr>
              <w:spacing w:after="120" w:before="300"/>
              <w:ind/>
              <w:outlineLvl w:val="2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1 год</w:t>
            </w:r>
          </w:p>
        </w:tc>
        <w:tc>
          <w:tcPr>
            <w:tcW w:type="dxa" w:w="1670"/>
          </w:tcPr>
          <w:p w14:paraId="8A000000">
            <w:pPr>
              <w:spacing w:after="120" w:before="300"/>
              <w:ind/>
              <w:outlineLvl w:val="2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5-7 лет</w:t>
            </w:r>
          </w:p>
        </w:tc>
      </w:tr>
      <w:tr>
        <w:tc>
          <w:tcPr>
            <w:tcW w:type="dxa" w:w="5652"/>
          </w:tcPr>
          <w:p w14:paraId="8B000000">
            <w:pPr>
              <w:spacing w:after="120" w:before="300"/>
              <w:ind/>
              <w:outlineLvl w:val="2"/>
              <w:rPr>
                <w:rFonts w:ascii="Arial" w:hAnsi="Arial"/>
                <w:color w:val="000000"/>
                <w:sz w:val="20"/>
              </w:rPr>
            </w:pPr>
            <w:r>
              <w:rPr>
                <w:rFonts w:ascii="Arial" w:hAnsi="Arial"/>
                <w:color w:val="000000"/>
                <w:sz w:val="20"/>
              </w:rPr>
              <w:t>6.Временные коронки (акрил)</w:t>
            </w:r>
          </w:p>
        </w:tc>
        <w:tc>
          <w:tcPr>
            <w:tcW w:type="dxa" w:w="2022"/>
          </w:tcPr>
          <w:p w14:paraId="8C000000">
            <w:pPr>
              <w:spacing w:after="120" w:before="300"/>
              <w:ind/>
              <w:outlineLvl w:val="2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1 месяц</w:t>
            </w:r>
          </w:p>
        </w:tc>
        <w:tc>
          <w:tcPr>
            <w:tcW w:type="dxa" w:w="1670"/>
          </w:tcPr>
          <w:p w14:paraId="8D000000">
            <w:pPr>
              <w:spacing w:after="120" w:before="300"/>
              <w:ind/>
              <w:outlineLvl w:val="2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3 месяца</w:t>
            </w:r>
          </w:p>
        </w:tc>
      </w:tr>
      <w:tr>
        <w:tc>
          <w:tcPr>
            <w:tcW w:type="dxa" w:w="5652"/>
          </w:tcPr>
          <w:p w14:paraId="8E000000">
            <w:pPr>
              <w:spacing w:after="120" w:before="300"/>
              <w:ind/>
              <w:outlineLvl w:val="2"/>
              <w:rPr>
                <w:rFonts w:ascii="Arial" w:hAnsi="Arial"/>
                <w:color w:val="000000"/>
                <w:sz w:val="20"/>
              </w:rPr>
            </w:pPr>
            <w:r>
              <w:rPr>
                <w:rFonts w:ascii="Arial" w:hAnsi="Arial"/>
                <w:color w:val="000000"/>
                <w:sz w:val="20"/>
              </w:rPr>
              <w:t>7.Временные коронки (</w:t>
            </w:r>
            <w:r>
              <w:rPr>
                <w:rFonts w:ascii="Arial" w:hAnsi="Arial"/>
                <w:color w:val="000000"/>
                <w:sz w:val="20"/>
              </w:rPr>
              <w:t>CAD|CAM)</w:t>
            </w:r>
          </w:p>
        </w:tc>
        <w:tc>
          <w:tcPr>
            <w:tcW w:type="dxa" w:w="2022"/>
          </w:tcPr>
          <w:p w14:paraId="8F000000">
            <w:pPr>
              <w:spacing w:after="120" w:before="300"/>
              <w:ind/>
              <w:outlineLvl w:val="2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 xml:space="preserve">3 </w:t>
            </w:r>
            <w:r>
              <w:rPr>
                <w:rFonts w:ascii="Arial" w:hAnsi="Arial"/>
                <w:b w:val="1"/>
                <w:color w:val="000000"/>
                <w:sz w:val="20"/>
              </w:rPr>
              <w:t>месяца</w:t>
            </w:r>
          </w:p>
        </w:tc>
        <w:tc>
          <w:tcPr>
            <w:tcW w:type="dxa" w:w="1670"/>
          </w:tcPr>
          <w:p w14:paraId="90000000">
            <w:pPr>
              <w:spacing w:after="120" w:before="300"/>
              <w:ind/>
              <w:outlineLvl w:val="2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6 месяцев</w:t>
            </w:r>
          </w:p>
        </w:tc>
      </w:tr>
      <w:tr>
        <w:tc>
          <w:tcPr>
            <w:tcW w:type="dxa" w:w="5652"/>
          </w:tcPr>
          <w:p w14:paraId="91000000">
            <w:pPr>
              <w:spacing w:after="120" w:before="300"/>
              <w:ind/>
              <w:outlineLvl w:val="2"/>
              <w:rPr>
                <w:rFonts w:ascii="Arial" w:hAnsi="Arial"/>
                <w:color w:val="000000"/>
                <w:sz w:val="20"/>
              </w:rPr>
            </w:pPr>
            <w:r>
              <w:rPr>
                <w:rFonts w:ascii="Arial" w:hAnsi="Arial"/>
                <w:color w:val="000000"/>
                <w:sz w:val="20"/>
              </w:rPr>
              <w:t>8.Временные (</w:t>
            </w:r>
            <w:r>
              <w:rPr>
                <w:rFonts w:ascii="Arial" w:hAnsi="Arial"/>
                <w:color w:val="000000"/>
                <w:sz w:val="20"/>
              </w:rPr>
              <w:t>иммедиат</w:t>
            </w:r>
            <w:r>
              <w:rPr>
                <w:rFonts w:ascii="Arial" w:hAnsi="Arial"/>
                <w:color w:val="000000"/>
                <w:sz w:val="20"/>
              </w:rPr>
              <w:t xml:space="preserve"> )протезы</w:t>
            </w:r>
          </w:p>
        </w:tc>
        <w:tc>
          <w:tcPr>
            <w:tcW w:type="dxa" w:w="2022"/>
          </w:tcPr>
          <w:p w14:paraId="92000000">
            <w:pPr>
              <w:spacing w:after="120" w:before="300"/>
              <w:ind/>
              <w:outlineLvl w:val="2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6 месяцев</w:t>
            </w:r>
          </w:p>
        </w:tc>
        <w:tc>
          <w:tcPr>
            <w:tcW w:type="dxa" w:w="1670"/>
          </w:tcPr>
          <w:p w14:paraId="93000000">
            <w:pPr>
              <w:spacing w:after="120" w:before="300"/>
              <w:ind/>
              <w:outlineLvl w:val="2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1 год</w:t>
            </w:r>
          </w:p>
        </w:tc>
      </w:tr>
    </w:tbl>
    <w:p w14:paraId="94000000">
      <w:pPr>
        <w:spacing w:after="120" w:before="300" w:line="420" w:lineRule="atLeast"/>
        <w:ind/>
        <w:outlineLvl w:val="2"/>
        <w:rPr>
          <w:rFonts w:ascii="Arial" w:hAnsi="Arial"/>
          <w:b w:val="1"/>
          <w:color w:val="000000"/>
          <w:sz w:val="20"/>
        </w:rPr>
      </w:pPr>
      <w:r>
        <w:rPr>
          <w:rFonts w:ascii="Arial" w:hAnsi="Arial"/>
          <w:b w:val="1"/>
          <w:color w:val="000000"/>
          <w:sz w:val="20"/>
        </w:rPr>
        <w:t>*Сроки гарантии и службы на ортопедические конструкции на внутрикостных дентальных импланта</w:t>
      </w:r>
      <w:r>
        <w:rPr>
          <w:rFonts w:ascii="Arial" w:hAnsi="Arial"/>
          <w:b w:val="1"/>
          <w:color w:val="000000"/>
          <w:sz w:val="20"/>
        </w:rPr>
        <w:t>та</w:t>
      </w:r>
      <w:r>
        <w:rPr>
          <w:rFonts w:ascii="Arial" w:hAnsi="Arial"/>
          <w:b w:val="1"/>
          <w:color w:val="000000"/>
          <w:sz w:val="20"/>
        </w:rPr>
        <w:t>х зафиксированы в Положении при оказании хирургической стоматологической помощи.</w:t>
      </w:r>
    </w:p>
    <w:p w14:paraId="95000000">
      <w:pPr>
        <w:spacing w:after="120" w:before="300"/>
        <w:ind/>
        <w:outlineLvl w:val="2"/>
        <w:rPr>
          <w:rFonts w:ascii="Arial" w:hAnsi="Arial"/>
          <w:b w:val="1"/>
          <w:color w:val="000000"/>
          <w:sz w:val="20"/>
        </w:rPr>
      </w:pPr>
      <w:r>
        <w:rPr>
          <w:rFonts w:ascii="Arial" w:hAnsi="Arial"/>
          <w:b w:val="1"/>
          <w:color w:val="000000"/>
          <w:sz w:val="20"/>
        </w:rPr>
        <w:t>Гарантийный срок на 14 дней распространяется на:</w:t>
      </w:r>
    </w:p>
    <w:p w14:paraId="96000000">
      <w:pPr>
        <w:spacing w:after="120" w:before="300"/>
        <w:ind/>
        <w:outlineLvl w:val="2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-ремонт съемных протезов, подлежащих замене (</w:t>
      </w:r>
      <w:r>
        <w:rPr>
          <w:rFonts w:ascii="Arial" w:hAnsi="Arial"/>
          <w:color w:val="000000"/>
          <w:sz w:val="20"/>
        </w:rPr>
        <w:t>переломы</w:t>
      </w:r>
      <w:r>
        <w:rPr>
          <w:rFonts w:ascii="Arial" w:hAnsi="Arial"/>
          <w:color w:val="000000"/>
          <w:sz w:val="20"/>
        </w:rPr>
        <w:t>,</w:t>
      </w:r>
      <w:r>
        <w:rPr>
          <w:rFonts w:ascii="Arial" w:hAnsi="Arial"/>
          <w:color w:val="000000"/>
          <w:sz w:val="20"/>
        </w:rPr>
        <w:t xml:space="preserve"> </w:t>
      </w:r>
      <w:r>
        <w:rPr>
          <w:rFonts w:ascii="Arial" w:hAnsi="Arial"/>
          <w:color w:val="000000"/>
          <w:sz w:val="20"/>
        </w:rPr>
        <w:t>ремонт,</w:t>
      </w:r>
      <w:r>
        <w:rPr>
          <w:rFonts w:ascii="Arial" w:hAnsi="Arial"/>
          <w:color w:val="000000"/>
          <w:sz w:val="20"/>
        </w:rPr>
        <w:t xml:space="preserve"> </w:t>
      </w:r>
      <w:r>
        <w:rPr>
          <w:rFonts w:ascii="Arial" w:hAnsi="Arial"/>
          <w:color w:val="000000"/>
          <w:sz w:val="20"/>
        </w:rPr>
        <w:t xml:space="preserve">приварка зубов, </w:t>
      </w:r>
      <w:r>
        <w:rPr>
          <w:rFonts w:ascii="Arial" w:hAnsi="Arial"/>
          <w:color w:val="000000"/>
          <w:sz w:val="20"/>
        </w:rPr>
        <w:t>кламеров</w:t>
      </w:r>
      <w:r>
        <w:rPr>
          <w:rFonts w:ascii="Arial" w:hAnsi="Arial"/>
          <w:color w:val="000000"/>
          <w:sz w:val="20"/>
        </w:rPr>
        <w:t>);</w:t>
      </w:r>
    </w:p>
    <w:p w14:paraId="97000000">
      <w:pPr>
        <w:spacing w:after="120" w:before="300"/>
        <w:ind/>
        <w:outlineLvl w:val="2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-повторная фиксация вкладок, коронок, мостов, выработавших установленный срок службы и подлежащих замене. </w:t>
      </w:r>
    </w:p>
    <w:p w14:paraId="98000000">
      <w:pPr>
        <w:spacing w:after="120" w:before="300"/>
        <w:ind/>
        <w:outlineLvl w:val="2"/>
        <w:rPr>
          <w:rFonts w:ascii="Arial" w:hAnsi="Arial"/>
          <w:color w:val="000000"/>
          <w:sz w:val="20"/>
        </w:rPr>
      </w:pPr>
      <w:r>
        <w:rPr>
          <w:rFonts w:ascii="Arial" w:hAnsi="Arial"/>
          <w:b w:val="1"/>
          <w:color w:val="000000"/>
          <w:sz w:val="20"/>
        </w:rPr>
        <w:t xml:space="preserve"> Недостатки, подлежащие безвозмездному устранению</w:t>
      </w:r>
    </w:p>
    <w:p w14:paraId="9900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 В течение гарантийного срока Клиника обязана безвозмездно устранять следующие недостатки: </w:t>
      </w:r>
    </w:p>
    <w:p w14:paraId="9A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при изготовлении вкладок — изменение анатомической формы, краевого прилегания, рецидив кариеса по краю вкладки;</w:t>
      </w:r>
    </w:p>
    <w:p w14:paraId="9B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выпадение, подвижность вкладки, </w:t>
      </w:r>
      <w:r>
        <w:rPr>
          <w:rFonts w:ascii="Arial" w:hAnsi="Arial"/>
          <w:color w:val="000000"/>
          <w:sz w:val="20"/>
        </w:rPr>
        <w:t>отлом</w:t>
      </w:r>
      <w:r>
        <w:rPr>
          <w:rFonts w:ascii="Arial" w:hAnsi="Arial"/>
          <w:color w:val="000000"/>
          <w:sz w:val="20"/>
        </w:rPr>
        <w:t xml:space="preserve"> части коронки зуба;</w:t>
      </w:r>
    </w:p>
    <w:p w14:paraId="9C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изменение цвета протезов;</w:t>
      </w:r>
    </w:p>
    <w:p w14:paraId="9D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оголение шейки зуба, покрытого искусственной коронкой;</w:t>
      </w:r>
    </w:p>
    <w:p w14:paraId="9E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отлом</w:t>
      </w:r>
      <w:r>
        <w:rPr>
          <w:rFonts w:ascii="Arial" w:hAnsi="Arial"/>
          <w:color w:val="000000"/>
          <w:sz w:val="20"/>
        </w:rPr>
        <w:t xml:space="preserve"> </w:t>
      </w:r>
      <w:r>
        <w:rPr>
          <w:rFonts w:ascii="Arial" w:hAnsi="Arial"/>
          <w:color w:val="000000"/>
          <w:sz w:val="20"/>
        </w:rPr>
        <w:t>кламмера</w:t>
      </w:r>
      <w:r>
        <w:rPr>
          <w:rFonts w:ascii="Arial" w:hAnsi="Arial"/>
          <w:color w:val="000000"/>
          <w:sz w:val="20"/>
        </w:rPr>
        <w:t>;</w:t>
      </w:r>
    </w:p>
    <w:p w14:paraId="9F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нарушение целостности коронки мостовидного протеза, в том числе откол облицовки;</w:t>
      </w:r>
    </w:p>
    <w:p w14:paraId="A0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перелом протезов (при отсутств</w:t>
      </w:r>
      <w:r>
        <w:rPr>
          <w:rFonts w:ascii="Arial" w:hAnsi="Arial"/>
          <w:color w:val="000000"/>
          <w:sz w:val="20"/>
        </w:rPr>
        <w:t>ии вины Пациента)</w:t>
      </w:r>
      <w:r>
        <w:rPr>
          <w:rFonts w:ascii="Arial" w:hAnsi="Arial"/>
          <w:color w:val="000000"/>
          <w:sz w:val="20"/>
        </w:rPr>
        <w:t>;</w:t>
      </w:r>
    </w:p>
    <w:p w14:paraId="A1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расцементировка</w:t>
      </w:r>
      <w:r>
        <w:rPr>
          <w:rFonts w:ascii="Arial" w:hAnsi="Arial"/>
          <w:color w:val="000000"/>
          <w:sz w:val="20"/>
        </w:rPr>
        <w:t xml:space="preserve"> несъёмных конструкций.</w:t>
      </w:r>
    </w:p>
    <w:p w14:paraId="A2000000">
      <w:pPr>
        <w:spacing w:after="120" w:before="120"/>
        <w:ind/>
        <w:rPr>
          <w:rFonts w:ascii="Arial" w:hAnsi="Arial"/>
          <w:b w:val="1"/>
          <w:color w:val="000000"/>
          <w:sz w:val="20"/>
        </w:rPr>
      </w:pPr>
      <w:r>
        <w:rPr>
          <w:rFonts w:ascii="Arial" w:hAnsi="Arial"/>
          <w:b w:val="1"/>
          <w:color w:val="000000"/>
          <w:sz w:val="20"/>
        </w:rPr>
        <w:t>До момента сдачи ортопедической конструкции Пациент имеет право требовать переделки или коррекции работы по любым причинам, связанным с качеством изготовления или посадки конструкции. </w:t>
      </w:r>
    </w:p>
    <w:p w14:paraId="A3000000">
      <w:pPr>
        <w:spacing w:after="480" w:before="480"/>
        <w:ind/>
        <w:rPr>
          <w:rFonts w:ascii="Arial" w:hAnsi="Arial"/>
          <w:sz w:val="24"/>
        </w:rPr>
      </w:pPr>
      <w:r>
        <w:rPr>
          <w:b w:val="1"/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inline>
                <wp:extent cx="0" cy="19050"/>
                <wp:docPr hidden="false" id="6" name="Picture 6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A4000000">
      <w:pPr>
        <w:spacing w:after="180" w:before="360" w:line="420" w:lineRule="atLeast"/>
        <w:ind/>
        <w:outlineLvl w:val="1"/>
        <w:rPr>
          <w:rFonts w:ascii="Arial" w:hAnsi="Arial"/>
          <w:b w:val="1"/>
          <w:color w:val="000000"/>
          <w:sz w:val="20"/>
        </w:rPr>
      </w:pPr>
      <w:r>
        <w:rPr>
          <w:rFonts w:ascii="Arial" w:hAnsi="Arial"/>
          <w:b w:val="1"/>
          <w:color w:val="000000"/>
          <w:sz w:val="30"/>
        </w:rPr>
        <w:t xml:space="preserve"> </w:t>
      </w:r>
      <w:r>
        <w:rPr>
          <w:rFonts w:ascii="Arial" w:hAnsi="Arial"/>
          <w:b w:val="1"/>
          <w:color w:val="000000"/>
          <w:sz w:val="20"/>
        </w:rPr>
        <w:t>Случаи, когда гарантийные сроки не устанавливаются или сокращаются</w:t>
      </w:r>
    </w:p>
    <w:p w14:paraId="A5000000">
      <w:pPr>
        <w:spacing w:after="120" w:before="120" w:line="420" w:lineRule="atLeast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 Гарантийные сроки и сроки службы </w:t>
      </w:r>
      <w:r>
        <w:rPr>
          <w:rFonts w:ascii="Arial" w:hAnsi="Arial"/>
          <w:b w:val="1"/>
          <w:color w:val="000000"/>
          <w:sz w:val="20"/>
        </w:rPr>
        <w:t>не устанавливаются</w:t>
      </w:r>
      <w:r>
        <w:rPr>
          <w:rFonts w:ascii="Arial" w:hAnsi="Arial"/>
          <w:color w:val="000000"/>
          <w:sz w:val="20"/>
        </w:rPr>
        <w:t> на:</w:t>
      </w:r>
    </w:p>
    <w:p w14:paraId="A6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установку временных ортопедических конструкций (кроме сл</w:t>
      </w:r>
      <w:r>
        <w:rPr>
          <w:rFonts w:ascii="Arial" w:hAnsi="Arial"/>
          <w:color w:val="000000"/>
          <w:sz w:val="20"/>
        </w:rPr>
        <w:t>учаев, указанных в таблице</w:t>
      </w:r>
      <w:r>
        <w:rPr>
          <w:rFonts w:ascii="Arial" w:hAnsi="Arial"/>
          <w:color w:val="000000"/>
          <w:sz w:val="20"/>
        </w:rPr>
        <w:t>);</w:t>
      </w:r>
    </w:p>
    <w:p w14:paraId="A7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фиксацию коронок и коррекцию протезов, изготовленных в других клиник</w:t>
      </w:r>
      <w:r>
        <w:rPr>
          <w:rFonts w:ascii="Arial" w:hAnsi="Arial"/>
          <w:color w:val="000000"/>
          <w:sz w:val="20"/>
        </w:rPr>
        <w:t>ах;</w:t>
      </w:r>
    </w:p>
    <w:p w14:paraId="A8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починку протезов с истёкшим гарантийным сроком (более 1 года после изготовления).</w:t>
      </w:r>
    </w:p>
    <w:p w14:paraId="A9000000">
      <w:pPr>
        <w:spacing w:after="120" w:before="120" w:line="420" w:lineRule="atLeast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Врач-стоматолог-ортопед вправе самостоятельно установить </w:t>
      </w:r>
      <w:r>
        <w:rPr>
          <w:rFonts w:ascii="Arial" w:hAnsi="Arial"/>
          <w:b w:val="1"/>
          <w:color w:val="000000"/>
          <w:sz w:val="20"/>
        </w:rPr>
        <w:t>сокращённый</w:t>
      </w:r>
      <w:r>
        <w:rPr>
          <w:rFonts w:ascii="Arial" w:hAnsi="Arial"/>
          <w:b w:val="1"/>
          <w:color w:val="000000"/>
          <w:sz w:val="20"/>
        </w:rPr>
        <w:t xml:space="preserve"> или увеличенный</w:t>
      </w:r>
      <w:r>
        <w:rPr>
          <w:rFonts w:ascii="Arial" w:hAnsi="Arial"/>
          <w:b w:val="1"/>
          <w:color w:val="000000"/>
          <w:sz w:val="20"/>
        </w:rPr>
        <w:t xml:space="preserve"> гарантийный срок</w:t>
      </w:r>
      <w:r>
        <w:rPr>
          <w:rFonts w:ascii="Arial" w:hAnsi="Arial"/>
          <w:color w:val="000000"/>
          <w:sz w:val="20"/>
        </w:rPr>
        <w:t xml:space="preserve"> в следующих случаях (с обязательной записью </w:t>
      </w:r>
      <w:r>
        <w:rPr>
          <w:rFonts w:ascii="Arial" w:hAnsi="Arial"/>
          <w:color w:val="000000"/>
          <w:sz w:val="20"/>
        </w:rPr>
        <w:t>в амбулаторной карте и Акте выполненных работ</w:t>
      </w:r>
      <w:r>
        <w:rPr>
          <w:rFonts w:ascii="Arial" w:hAnsi="Arial"/>
          <w:color w:val="000000"/>
          <w:sz w:val="20"/>
        </w:rPr>
        <w:t>): </w:t>
      </w:r>
    </w:p>
    <w:p w14:paraId="AA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при наличии подвижности зубов — срок устанавливает врач;</w:t>
      </w:r>
    </w:p>
    <w:p w14:paraId="AB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при наличии сопутствующего заболевания (пародонтит, пародонтоз) — обязательным условием предоставления гарантии является проведение профессиональной гигиены не менее 2 раз в год; срок устанавливает врач в зависимости от степени тяжести заболевания;</w:t>
      </w:r>
    </w:p>
    <w:p w14:paraId="AC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при желании Пациента выполнить работу по определённой им схеме и/или при отсутствии чётких медицинских показаний к выбранному виду протезирования — срок гарантии может быть установлен 1 месяц.</w:t>
      </w:r>
    </w:p>
    <w:p w14:paraId="AD000000">
      <w:pPr>
        <w:spacing w:after="120" w:before="120" w:line="420" w:lineRule="atLeast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 При неудовлетворительной гигиене полости рта сроки гарантии и сроки службы </w:t>
      </w:r>
      <w:r>
        <w:rPr>
          <w:rFonts w:ascii="Arial" w:hAnsi="Arial"/>
          <w:b w:val="1"/>
          <w:color w:val="000000"/>
          <w:sz w:val="20"/>
        </w:rPr>
        <w:t>уменьшаются на 50%</w:t>
      </w:r>
      <w:r>
        <w:rPr>
          <w:rFonts w:ascii="Arial" w:hAnsi="Arial"/>
          <w:color w:val="000000"/>
          <w:sz w:val="20"/>
        </w:rPr>
        <w:t>. </w:t>
      </w:r>
    </w:p>
    <w:p w14:paraId="AE000000">
      <w:pPr>
        <w:spacing w:after="120" w:before="120" w:line="420" w:lineRule="atLeast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Отторжение имплантата, откол облицовки, перелом протеза, отёк — указанные обстоятельства не являются отрицательным результатом ортопедического лечения, а одним из допустимых осложнений. Решение о признании случая гарантийным принимает врачебная комиссия Клиники. </w:t>
      </w:r>
    </w:p>
    <w:p w14:paraId="AF000000">
      <w:pPr>
        <w:pStyle w:val="Style_3"/>
        <w:numPr>
          <w:ilvl w:val="0"/>
          <w:numId w:val="2"/>
        </w:numPr>
        <w:spacing w:after="480" w:before="480"/>
        <w:ind/>
        <w:rPr>
          <w:rFonts w:ascii="Arial" w:hAnsi="Arial"/>
          <w:sz w:val="20"/>
        </w:rPr>
      </w:pPr>
    </w:p>
    <w:p w14:paraId="B0000000">
      <w:pPr>
        <w:spacing w:after="480" w:before="480"/>
        <w:ind w:firstLine="0" w:left="360"/>
        <w:rPr>
          <w:rFonts w:ascii="Arial" w:hAnsi="Arial"/>
          <w:sz w:val="20"/>
        </w:rPr>
      </w:pPr>
      <w:r>
        <w:rPr>
          <w:rFonts w:ascii="Arial" w:hAnsi="Arial"/>
          <w:b w:val="1"/>
          <w:color w:val="000000"/>
          <w:sz w:val="20"/>
        </w:rPr>
        <w:t>У</w:t>
      </w:r>
      <w:r>
        <w:rPr>
          <w:rFonts w:ascii="Arial" w:hAnsi="Arial"/>
          <w:b w:val="1"/>
          <w:color w:val="000000"/>
          <w:sz w:val="20"/>
        </w:rPr>
        <w:t>словия сохранения гарантийных обязательств</w:t>
      </w:r>
      <w:r>
        <w:rPr>
          <w:rFonts w:ascii="Arial" w:hAnsi="Arial"/>
          <w:b w:val="1"/>
          <w:color w:val="000000"/>
          <w:sz w:val="20"/>
        </w:rPr>
        <w:t>:</w:t>
      </w:r>
      <w:r>
        <w:rPr>
          <w:rFonts w:ascii="Arial" w:hAnsi="Arial"/>
          <w:color w:val="000000"/>
          <w:sz w:val="20"/>
        </w:rPr>
        <w:t xml:space="preserve"> г</w:t>
      </w:r>
      <w:r>
        <w:rPr>
          <w:rFonts w:ascii="Arial" w:hAnsi="Arial"/>
          <w:color w:val="000000"/>
          <w:sz w:val="20"/>
        </w:rPr>
        <w:t>арантия действует при соблюдении Пациентом следующих условий: </w:t>
      </w:r>
    </w:p>
    <w:p w14:paraId="B1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b w:val="1"/>
          <w:color w:val="000000"/>
          <w:sz w:val="20"/>
        </w:rPr>
        <w:t>Профилактические осмотры</w:t>
      </w:r>
      <w:r>
        <w:rPr>
          <w:rFonts w:ascii="Arial" w:hAnsi="Arial"/>
          <w:color w:val="000000"/>
          <w:sz w:val="20"/>
        </w:rPr>
        <w:t> — Пациент обязан посещать лечащего врача не реже одного раза в 6 месяцев от последнего приёма.</w:t>
      </w:r>
    </w:p>
    <w:p w14:paraId="B2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b w:val="1"/>
          <w:color w:val="000000"/>
          <w:sz w:val="20"/>
        </w:rPr>
        <w:t>Профессиональная гигиена</w:t>
      </w:r>
      <w:r>
        <w:rPr>
          <w:rFonts w:ascii="Arial" w:hAnsi="Arial"/>
          <w:color w:val="000000"/>
          <w:sz w:val="20"/>
        </w:rPr>
        <w:t> — проведение курса профессиональной гигиены полости рта не реже 2 раз в год (при заболеваниях пародонта — 2–4 раза в год по назначению врача).</w:t>
      </w:r>
    </w:p>
    <w:p w14:paraId="B3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b w:val="1"/>
          <w:color w:val="000000"/>
          <w:sz w:val="20"/>
        </w:rPr>
        <w:t>Соблюдение рекомендаций врача</w:t>
      </w:r>
      <w:r>
        <w:rPr>
          <w:rFonts w:ascii="Arial" w:hAnsi="Arial"/>
          <w:color w:val="000000"/>
          <w:sz w:val="20"/>
        </w:rPr>
        <w:t> — по эксплуатации ортопедических конструкций, использованию специализированных паст, зубных щёток, очищающих таблеток и т. д.</w:t>
      </w:r>
    </w:p>
    <w:p w14:paraId="B4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b w:val="1"/>
          <w:color w:val="000000"/>
          <w:sz w:val="20"/>
        </w:rPr>
        <w:t>Своевременное обращение</w:t>
      </w:r>
      <w:r>
        <w:rPr>
          <w:rFonts w:ascii="Arial" w:hAnsi="Arial"/>
          <w:color w:val="000000"/>
          <w:sz w:val="20"/>
        </w:rPr>
        <w:t> — при возникновении дискомфорта или иных проявлений в области проведённого лечения Пациент обязан незамедлительно обратиться в Клинику.</w:t>
      </w:r>
    </w:p>
    <w:p w14:paraId="B5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b w:val="1"/>
          <w:color w:val="000000"/>
          <w:sz w:val="20"/>
        </w:rPr>
        <w:t>Информирование о стороннем лечении</w:t>
      </w:r>
      <w:r>
        <w:rPr>
          <w:rFonts w:ascii="Arial" w:hAnsi="Arial"/>
          <w:color w:val="000000"/>
          <w:sz w:val="20"/>
        </w:rPr>
        <w:t> — Пациент обязан сообщить о прохождении стоматологического лечения в других медицинских учреждениях.</w:t>
      </w:r>
    </w:p>
    <w:p w14:paraId="B600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 При обращении за неотложной помощью в другую клинику Пациент обязан не позднее 3 дней предоставить в Клинику выписку из медицинской карты и рентгеновские снимки — вопрос о сохранении гарантии решается индивидуально. </w:t>
      </w:r>
    </w:p>
    <w:p w14:paraId="B700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 Срок гарантии прерывается и не возобновляется, если Пациент в течение гарантийного срока обратился за оказанием стоматологической помощи (лечением, протезированием, коррекцией протезов) в отношении зубов, подвергшихся лечению в Клинике, в любое другое медицинское учреждение. </w:t>
      </w:r>
    </w:p>
    <w:p w14:paraId="B8000000">
      <w:pPr>
        <w:spacing w:after="180" w:before="360" w:line="420" w:lineRule="atLeast"/>
        <w:ind/>
        <w:outlineLvl w:val="1"/>
        <w:rPr>
          <w:rFonts w:ascii="Arial" w:hAnsi="Arial"/>
          <w:b w:val="1"/>
          <w:color w:val="000000"/>
          <w:sz w:val="20"/>
        </w:rPr>
      </w:pPr>
      <w:r>
        <w:rPr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inline>
                <wp:extent cx="0" cy="19050"/>
                <wp:docPr hidden="false" id="7" name="Picture 7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Arial" w:hAnsi="Arial"/>
          <w:b w:val="1"/>
          <w:color w:val="000000"/>
          <w:sz w:val="20"/>
        </w:rPr>
        <w:t>Условия прекращения гарантийных обязательств</w:t>
      </w:r>
      <w:r>
        <w:rPr>
          <w:rFonts w:ascii="Arial" w:hAnsi="Arial"/>
          <w:color w:val="000000"/>
          <w:sz w:val="20"/>
        </w:rPr>
        <w:t>: г</w:t>
      </w:r>
      <w:r>
        <w:rPr>
          <w:rFonts w:ascii="Arial" w:hAnsi="Arial"/>
          <w:color w:val="000000"/>
          <w:sz w:val="20"/>
        </w:rPr>
        <w:t>арантийные обязательства прекращаются в следующих случаях: </w:t>
      </w:r>
    </w:p>
    <w:p w14:paraId="B9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Врач-стоматолог Клиники дважды в течение года зафиксировал плохую гигиену полости рта (с подписью Пациента в медицинской карте).</w:t>
      </w:r>
    </w:p>
    <w:p w14:paraId="BA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Пациент пропускает плановые профилактические осмотры (отсутствуют записи в медицинской карте каждые 6 месяцев).</w:t>
      </w:r>
    </w:p>
    <w:p w14:paraId="BB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Пациент отказывается от рекомендованных врачом процедур.</w:t>
      </w:r>
    </w:p>
    <w:p w14:paraId="BC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Пациент не обращается в Клинику при возникновении дискомфорта и других проявлений в области проведённого лечения.</w:t>
      </w:r>
    </w:p>
    <w:p w14:paraId="BD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Пациент не сообщил о прохождении стоматологического лечения в других учреждениях.</w:t>
      </w:r>
    </w:p>
    <w:p w14:paraId="BE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Перелом протеза вследствие травмы (противоправной, бытовой, производственной) или обстоятельств непреодолимой силы; для съёмных пластиночных протезов — вследствие падения протеза на твёрдую поверхность.</w:t>
      </w:r>
    </w:p>
    <w:p w14:paraId="BF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0"/>
        </w:rPr>
        <w:t>Невыполнение Пациентом рекомендованного плана лечения в полном</w:t>
      </w:r>
      <w:r>
        <w:rPr>
          <w:rFonts w:ascii="Arial" w:hAnsi="Arial"/>
          <w:color w:val="000000"/>
          <w:sz w:val="24"/>
        </w:rPr>
        <w:t xml:space="preserve"> </w:t>
      </w:r>
      <w:r>
        <w:rPr>
          <w:rFonts w:ascii="Arial" w:hAnsi="Arial"/>
          <w:color w:val="000000"/>
          <w:sz w:val="20"/>
        </w:rPr>
        <w:t>объёме</w:t>
      </w:r>
      <w:r>
        <w:rPr>
          <w:rFonts w:ascii="Arial" w:hAnsi="Arial"/>
          <w:color w:val="000000"/>
          <w:sz w:val="24"/>
        </w:rPr>
        <w:t>.</w:t>
      </w:r>
    </w:p>
    <w:p w14:paraId="C0000000">
      <w:pPr>
        <w:spacing w:after="480" w:before="480"/>
        <w:ind/>
        <w:rPr>
          <w:rFonts w:ascii="Arial" w:hAnsi="Arial"/>
          <w:sz w:val="24"/>
        </w:rPr>
      </w:pPr>
      <w:r>
        <w:rPr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inline>
                <wp:extent cx="0" cy="19050"/>
                <wp:docPr hidden="false" id="8" name="Picture 8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C1000000">
      <w:pPr>
        <w:spacing w:after="60" w:before="300"/>
        <w:ind/>
        <w:outlineLvl w:val="3"/>
        <w:rPr>
          <w:rFonts w:ascii="Arial" w:hAnsi="Arial"/>
          <w:b w:val="1"/>
          <w:color w:val="000000"/>
          <w:sz w:val="20"/>
        </w:rPr>
      </w:pPr>
      <w:r>
        <w:rPr>
          <w:rFonts w:ascii="Arial" w:hAnsi="Arial"/>
          <w:b w:val="1"/>
          <w:color w:val="000000"/>
          <w:sz w:val="20"/>
        </w:rPr>
        <w:t>6</w:t>
      </w:r>
      <w:r>
        <w:rPr>
          <w:rFonts w:ascii="Arial" w:hAnsi="Arial"/>
          <w:b w:val="1"/>
          <w:color w:val="000000"/>
          <w:sz w:val="20"/>
        </w:rPr>
        <w:t xml:space="preserve">.3 Гарантийные сроки и сроки службы работ </w:t>
      </w:r>
      <w:r>
        <w:rPr>
          <w:rFonts w:ascii="Arial" w:hAnsi="Arial"/>
          <w:b w:val="1"/>
          <w:color w:val="000000"/>
          <w:sz w:val="20"/>
        </w:rPr>
        <w:t xml:space="preserve">по стоматологии </w:t>
      </w:r>
      <w:r>
        <w:rPr>
          <w:rFonts w:ascii="Arial" w:hAnsi="Arial"/>
          <w:b w:val="1"/>
          <w:color w:val="000000"/>
          <w:sz w:val="20"/>
        </w:rPr>
        <w:t>хирургической, в том числе,</w:t>
      </w:r>
      <w:r>
        <w:rPr>
          <w:rFonts w:ascii="Arial" w:hAnsi="Arial"/>
          <w:b w:val="1"/>
          <w:color w:val="000000"/>
          <w:sz w:val="20"/>
        </w:rPr>
        <w:t xml:space="preserve"> </w:t>
      </w:r>
      <w:r>
        <w:rPr>
          <w:rFonts w:ascii="Arial" w:hAnsi="Arial"/>
          <w:b w:val="1"/>
          <w:color w:val="000000"/>
          <w:sz w:val="20"/>
        </w:rPr>
        <w:t xml:space="preserve">дентальной </w:t>
      </w:r>
      <w:r>
        <w:rPr>
          <w:rFonts w:ascii="Arial" w:hAnsi="Arial"/>
          <w:b w:val="1"/>
          <w:color w:val="000000"/>
          <w:sz w:val="20"/>
        </w:rPr>
        <w:t>имплантологии</w:t>
      </w:r>
    </w:p>
    <w:tbl>
      <w:tblPr>
        <w:tblStyle w:val="Style_2"/>
        <w:tblW w:type="auto" w:w="0"/>
        <w:tblLayout w:type="fixed"/>
      </w:tblPr>
      <w:tblGrid>
        <w:gridCol w:w="5949"/>
        <w:gridCol w:w="1701"/>
        <w:gridCol w:w="1694"/>
      </w:tblGrid>
      <w:tr>
        <w:tc>
          <w:tcPr>
            <w:tcW w:type="dxa" w:w="5949"/>
          </w:tcPr>
          <w:p w14:paraId="C2000000">
            <w:pPr>
              <w:spacing w:after="60" w:before="300"/>
              <w:ind/>
              <w:outlineLvl w:val="3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Номер и наименование услуги</w:t>
            </w:r>
          </w:p>
        </w:tc>
        <w:tc>
          <w:tcPr>
            <w:tcW w:type="dxa" w:w="1701"/>
          </w:tcPr>
          <w:p w14:paraId="C3000000">
            <w:pPr>
              <w:spacing w:after="60" w:before="300"/>
              <w:ind/>
              <w:outlineLvl w:val="3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Срок гарантии</w:t>
            </w:r>
          </w:p>
        </w:tc>
        <w:tc>
          <w:tcPr>
            <w:tcW w:type="dxa" w:w="1694"/>
          </w:tcPr>
          <w:p w14:paraId="C4000000">
            <w:pPr>
              <w:spacing w:after="60" w:before="300"/>
              <w:ind/>
              <w:outlineLvl w:val="3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Срок службы</w:t>
            </w:r>
          </w:p>
        </w:tc>
      </w:tr>
      <w:tr>
        <w:tc>
          <w:tcPr>
            <w:tcW w:type="dxa" w:w="5949"/>
          </w:tcPr>
          <w:p w14:paraId="C5000000">
            <w:pPr>
              <w:spacing w:after="60" w:before="300"/>
              <w:ind/>
              <w:outlineLvl w:val="3"/>
              <w:rPr>
                <w:rFonts w:ascii="Arial" w:hAnsi="Arial"/>
                <w:color w:val="000000"/>
                <w:sz w:val="20"/>
              </w:rPr>
            </w:pPr>
            <w:r>
              <w:rPr>
                <w:rFonts w:ascii="Arial" w:hAnsi="Arial"/>
                <w:color w:val="000000"/>
                <w:sz w:val="20"/>
              </w:rPr>
              <w:t>1.Удаление зуба</w:t>
            </w:r>
          </w:p>
        </w:tc>
        <w:tc>
          <w:tcPr>
            <w:tcW w:type="dxa" w:w="1701"/>
          </w:tcPr>
          <w:p w14:paraId="C6000000">
            <w:pPr>
              <w:spacing w:after="60" w:before="300"/>
              <w:ind/>
              <w:outlineLvl w:val="3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нет</w:t>
            </w:r>
          </w:p>
        </w:tc>
        <w:tc>
          <w:tcPr>
            <w:tcW w:type="dxa" w:w="1694"/>
          </w:tcPr>
          <w:p w14:paraId="C7000000">
            <w:pPr>
              <w:spacing w:after="60" w:before="300"/>
              <w:ind/>
              <w:outlineLvl w:val="3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----------------</w:t>
            </w:r>
          </w:p>
        </w:tc>
      </w:tr>
      <w:tr>
        <w:tc>
          <w:tcPr>
            <w:tcW w:type="dxa" w:w="5949"/>
          </w:tcPr>
          <w:p w14:paraId="C8000000">
            <w:pPr>
              <w:spacing w:after="60" w:before="300"/>
              <w:ind/>
              <w:outlineLvl w:val="3"/>
              <w:rPr>
                <w:rFonts w:ascii="Arial" w:hAnsi="Arial"/>
                <w:color w:val="000000"/>
                <w:sz w:val="20"/>
              </w:rPr>
            </w:pPr>
            <w:r>
              <w:rPr>
                <w:rFonts w:ascii="Arial" w:hAnsi="Arial"/>
                <w:color w:val="000000"/>
                <w:sz w:val="20"/>
              </w:rPr>
              <w:t>2.Костная пластика, направленная регенерация кости</w:t>
            </w:r>
          </w:p>
        </w:tc>
        <w:tc>
          <w:tcPr>
            <w:tcW w:type="dxa" w:w="1701"/>
          </w:tcPr>
          <w:p w14:paraId="C9000000">
            <w:pPr>
              <w:spacing w:after="60" w:before="300"/>
              <w:ind/>
              <w:outlineLvl w:val="3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нет</w:t>
            </w:r>
          </w:p>
        </w:tc>
        <w:tc>
          <w:tcPr>
            <w:tcW w:type="dxa" w:w="1694"/>
          </w:tcPr>
          <w:p w14:paraId="CA000000">
            <w:pPr>
              <w:spacing w:after="60" w:before="300"/>
              <w:ind/>
              <w:outlineLvl w:val="3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---------------</w:t>
            </w:r>
          </w:p>
        </w:tc>
      </w:tr>
      <w:tr>
        <w:tc>
          <w:tcPr>
            <w:tcW w:type="dxa" w:w="5949"/>
          </w:tcPr>
          <w:p w14:paraId="CB000000">
            <w:pPr>
              <w:spacing w:after="60" w:before="300"/>
              <w:ind/>
              <w:outlineLvl w:val="3"/>
              <w:rPr>
                <w:rFonts w:ascii="Arial" w:hAnsi="Arial"/>
                <w:color w:val="000000"/>
                <w:sz w:val="20"/>
              </w:rPr>
            </w:pPr>
            <w:r>
              <w:rPr>
                <w:rFonts w:ascii="Arial" w:hAnsi="Arial"/>
                <w:color w:val="000000"/>
                <w:sz w:val="20"/>
              </w:rPr>
              <w:t>3.Пластика мягких тканей</w:t>
            </w:r>
          </w:p>
        </w:tc>
        <w:tc>
          <w:tcPr>
            <w:tcW w:type="dxa" w:w="1701"/>
          </w:tcPr>
          <w:p w14:paraId="CC000000">
            <w:pPr>
              <w:spacing w:after="60" w:before="300"/>
              <w:ind/>
              <w:outlineLvl w:val="3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нет</w:t>
            </w:r>
          </w:p>
        </w:tc>
        <w:tc>
          <w:tcPr>
            <w:tcW w:type="dxa" w:w="1694"/>
          </w:tcPr>
          <w:p w14:paraId="CD000000">
            <w:pPr>
              <w:spacing w:after="60" w:before="300"/>
              <w:ind/>
              <w:outlineLvl w:val="3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----------------</w:t>
            </w:r>
          </w:p>
        </w:tc>
      </w:tr>
      <w:tr>
        <w:tc>
          <w:tcPr>
            <w:tcW w:type="dxa" w:w="5949"/>
          </w:tcPr>
          <w:p w14:paraId="CE000000">
            <w:pPr>
              <w:spacing w:after="60" w:before="300"/>
              <w:ind/>
              <w:outlineLvl w:val="3"/>
              <w:rPr>
                <w:rFonts w:ascii="Arial" w:hAnsi="Arial"/>
                <w:color w:val="000000"/>
                <w:sz w:val="20"/>
              </w:rPr>
            </w:pPr>
            <w:r>
              <w:rPr>
                <w:rFonts w:ascii="Arial" w:hAnsi="Arial"/>
                <w:color w:val="000000"/>
                <w:sz w:val="20"/>
              </w:rPr>
              <w:t>4.Синус-лифтинг (открытый/закрытый)</w:t>
            </w:r>
          </w:p>
        </w:tc>
        <w:tc>
          <w:tcPr>
            <w:tcW w:type="dxa" w:w="1701"/>
          </w:tcPr>
          <w:p w14:paraId="CF000000">
            <w:pPr>
              <w:spacing w:after="60" w:before="300"/>
              <w:ind/>
              <w:outlineLvl w:val="3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нет</w:t>
            </w:r>
          </w:p>
        </w:tc>
        <w:tc>
          <w:tcPr>
            <w:tcW w:type="dxa" w:w="1694"/>
          </w:tcPr>
          <w:p w14:paraId="D0000000">
            <w:pPr>
              <w:spacing w:after="60" w:before="300"/>
              <w:ind/>
              <w:outlineLvl w:val="3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----------------</w:t>
            </w:r>
          </w:p>
        </w:tc>
      </w:tr>
      <w:tr>
        <w:tc>
          <w:tcPr>
            <w:tcW w:type="dxa" w:w="5949"/>
          </w:tcPr>
          <w:p w14:paraId="D1000000">
            <w:pPr>
              <w:spacing w:after="60" w:before="300"/>
              <w:ind/>
              <w:outlineLvl w:val="3"/>
              <w:rPr>
                <w:rFonts w:ascii="Arial" w:hAnsi="Arial"/>
                <w:color w:val="000000"/>
                <w:sz w:val="20"/>
              </w:rPr>
            </w:pPr>
            <w:r>
              <w:rPr>
                <w:rFonts w:ascii="Arial" w:hAnsi="Arial"/>
                <w:color w:val="000000"/>
                <w:sz w:val="20"/>
              </w:rPr>
              <w:t xml:space="preserve">5.Установка дентального </w:t>
            </w:r>
            <w:r>
              <w:rPr>
                <w:rFonts w:ascii="Arial" w:hAnsi="Arial"/>
                <w:color w:val="000000"/>
                <w:sz w:val="20"/>
              </w:rPr>
              <w:t>импланта</w:t>
            </w:r>
            <w:r>
              <w:rPr>
                <w:rFonts w:ascii="Arial" w:hAnsi="Arial"/>
                <w:color w:val="000000"/>
                <w:sz w:val="20"/>
              </w:rPr>
              <w:t xml:space="preserve"> (хирургический этап, интеграция)</w:t>
            </w:r>
          </w:p>
        </w:tc>
        <w:tc>
          <w:tcPr>
            <w:tcW w:type="dxa" w:w="1701"/>
          </w:tcPr>
          <w:p w14:paraId="D2000000">
            <w:pPr>
              <w:spacing w:after="60" w:before="300"/>
              <w:ind/>
              <w:outlineLvl w:val="3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12 месяцев</w:t>
            </w:r>
          </w:p>
        </w:tc>
        <w:tc>
          <w:tcPr>
            <w:tcW w:type="dxa" w:w="1694"/>
          </w:tcPr>
          <w:p w14:paraId="D3000000">
            <w:pPr>
              <w:spacing w:after="60" w:before="300"/>
              <w:ind/>
              <w:outlineLvl w:val="3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---------------</w:t>
            </w:r>
          </w:p>
        </w:tc>
      </w:tr>
      <w:tr>
        <w:tc>
          <w:tcPr>
            <w:tcW w:type="dxa" w:w="5949"/>
          </w:tcPr>
          <w:p w14:paraId="D4000000">
            <w:pPr>
              <w:spacing w:after="60" w:before="300"/>
              <w:ind/>
              <w:outlineLvl w:val="3"/>
              <w:rPr>
                <w:rFonts w:ascii="Arial" w:hAnsi="Arial"/>
                <w:color w:val="000000"/>
                <w:sz w:val="20"/>
              </w:rPr>
            </w:pPr>
            <w:r>
              <w:rPr>
                <w:rFonts w:ascii="Arial" w:hAnsi="Arial"/>
                <w:color w:val="000000"/>
                <w:sz w:val="20"/>
              </w:rPr>
              <w:t>6.Формирователь десны</w:t>
            </w:r>
          </w:p>
        </w:tc>
        <w:tc>
          <w:tcPr>
            <w:tcW w:type="dxa" w:w="1701"/>
          </w:tcPr>
          <w:p w14:paraId="D5000000">
            <w:pPr>
              <w:spacing w:after="60" w:before="300"/>
              <w:ind/>
              <w:outlineLvl w:val="3"/>
              <w:rPr>
                <w:rFonts w:ascii="Arial" w:hAnsi="Arial"/>
                <w:b w:val="1"/>
                <w:color w:val="000000"/>
                <w:sz w:val="16"/>
              </w:rPr>
            </w:pPr>
            <w:r>
              <w:rPr>
                <w:rFonts w:ascii="Arial" w:hAnsi="Arial"/>
                <w:b w:val="1"/>
                <w:color w:val="000000"/>
                <w:sz w:val="16"/>
              </w:rPr>
              <w:t xml:space="preserve">На период лечения </w:t>
            </w:r>
            <w:r>
              <w:rPr>
                <w:rFonts w:ascii="Arial" w:hAnsi="Arial"/>
                <w:b w:val="1"/>
                <w:color w:val="000000"/>
                <w:sz w:val="16"/>
              </w:rPr>
              <w:t xml:space="preserve">до установки </w:t>
            </w:r>
            <w:r>
              <w:rPr>
                <w:rFonts w:ascii="Arial" w:hAnsi="Arial"/>
                <w:b w:val="1"/>
                <w:color w:val="000000"/>
                <w:sz w:val="16"/>
              </w:rPr>
              <w:t>абатмента</w:t>
            </w:r>
          </w:p>
        </w:tc>
        <w:tc>
          <w:tcPr>
            <w:tcW w:type="dxa" w:w="1694"/>
          </w:tcPr>
          <w:p w14:paraId="D6000000">
            <w:pPr>
              <w:spacing w:after="60" w:before="300"/>
              <w:ind/>
              <w:outlineLvl w:val="3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----------------</w:t>
            </w:r>
          </w:p>
        </w:tc>
      </w:tr>
      <w:tr>
        <w:tc>
          <w:tcPr>
            <w:tcW w:type="dxa" w:w="5949"/>
          </w:tcPr>
          <w:p w14:paraId="D7000000">
            <w:pPr>
              <w:spacing w:after="60" w:before="300"/>
              <w:ind/>
              <w:outlineLvl w:val="3"/>
              <w:rPr>
                <w:rFonts w:ascii="Arial" w:hAnsi="Arial"/>
                <w:color w:val="000000"/>
                <w:sz w:val="20"/>
              </w:rPr>
            </w:pPr>
            <w:r>
              <w:rPr>
                <w:rFonts w:ascii="Arial" w:hAnsi="Arial"/>
                <w:color w:val="000000"/>
                <w:sz w:val="20"/>
              </w:rPr>
              <w:t>7</w:t>
            </w:r>
            <w:r>
              <w:rPr>
                <w:rFonts w:ascii="Arial" w:hAnsi="Arial"/>
                <w:color w:val="000000"/>
                <w:sz w:val="20"/>
              </w:rPr>
              <w:t xml:space="preserve">.Коронка на </w:t>
            </w:r>
            <w:r>
              <w:rPr>
                <w:rFonts w:ascii="Arial" w:hAnsi="Arial"/>
                <w:color w:val="000000"/>
                <w:sz w:val="20"/>
              </w:rPr>
              <w:t>импланте</w:t>
            </w:r>
            <w:r>
              <w:rPr>
                <w:rFonts w:ascii="Arial" w:hAnsi="Arial"/>
                <w:color w:val="000000"/>
                <w:sz w:val="20"/>
              </w:rPr>
              <w:t xml:space="preserve"> </w:t>
            </w:r>
            <w:r>
              <w:rPr>
                <w:rFonts w:ascii="Arial" w:hAnsi="Arial"/>
                <w:color w:val="000000"/>
                <w:sz w:val="20"/>
              </w:rPr>
              <w:t xml:space="preserve"> (диоксид циркония,</w:t>
            </w:r>
            <w:r>
              <w:rPr>
                <w:rFonts w:ascii="Arial" w:hAnsi="Arial"/>
                <w:color w:val="000000"/>
                <w:sz w:val="20"/>
              </w:rPr>
              <w:t xml:space="preserve"> </w:t>
            </w:r>
            <w:r>
              <w:rPr>
                <w:rFonts w:ascii="Arial" w:hAnsi="Arial"/>
                <w:color w:val="000000"/>
                <w:sz w:val="20"/>
              </w:rPr>
              <w:t>металлокерамическая)</w:t>
            </w:r>
          </w:p>
        </w:tc>
        <w:tc>
          <w:tcPr>
            <w:tcW w:type="dxa" w:w="1701"/>
          </w:tcPr>
          <w:p w14:paraId="D8000000">
            <w:pPr>
              <w:spacing w:after="60" w:before="300"/>
              <w:ind/>
              <w:outlineLvl w:val="3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12 месяцев</w:t>
            </w:r>
          </w:p>
        </w:tc>
        <w:tc>
          <w:tcPr>
            <w:tcW w:type="dxa" w:w="1694"/>
          </w:tcPr>
          <w:p w14:paraId="D9000000">
            <w:pPr>
              <w:spacing w:after="60" w:before="300"/>
              <w:ind/>
              <w:outlineLvl w:val="3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7 лет</w:t>
            </w:r>
          </w:p>
        </w:tc>
      </w:tr>
      <w:tr>
        <w:tc>
          <w:tcPr>
            <w:tcW w:type="dxa" w:w="5949"/>
          </w:tcPr>
          <w:p w14:paraId="DA000000">
            <w:pPr>
              <w:spacing w:after="60" w:before="300"/>
              <w:ind/>
              <w:outlineLvl w:val="3"/>
              <w:rPr>
                <w:rFonts w:ascii="Arial" w:hAnsi="Arial"/>
                <w:color w:val="000000"/>
                <w:sz w:val="20"/>
              </w:rPr>
            </w:pPr>
            <w:r>
              <w:rPr>
                <w:rFonts w:ascii="Arial" w:hAnsi="Arial"/>
                <w:color w:val="000000"/>
                <w:sz w:val="20"/>
              </w:rPr>
              <w:t xml:space="preserve">8.Коронка на </w:t>
            </w:r>
            <w:r>
              <w:rPr>
                <w:rFonts w:ascii="Arial" w:hAnsi="Arial"/>
                <w:color w:val="000000"/>
                <w:sz w:val="20"/>
              </w:rPr>
              <w:t>импланте</w:t>
            </w:r>
            <w:r>
              <w:rPr>
                <w:rFonts w:ascii="Arial" w:hAnsi="Arial"/>
                <w:color w:val="000000"/>
                <w:sz w:val="20"/>
              </w:rPr>
              <w:t xml:space="preserve"> (временная,</w:t>
            </w:r>
            <w:r>
              <w:rPr>
                <w:rFonts w:ascii="Arial" w:hAnsi="Arial"/>
                <w:color w:val="000000"/>
                <w:sz w:val="20"/>
              </w:rPr>
              <w:t xml:space="preserve"> </w:t>
            </w:r>
            <w:r>
              <w:rPr>
                <w:rFonts w:ascii="Arial" w:hAnsi="Arial"/>
                <w:color w:val="000000"/>
                <w:sz w:val="20"/>
              </w:rPr>
              <w:t>пластмассовая)</w:t>
            </w:r>
          </w:p>
        </w:tc>
        <w:tc>
          <w:tcPr>
            <w:tcW w:type="dxa" w:w="1701"/>
          </w:tcPr>
          <w:p w14:paraId="DB000000">
            <w:pPr>
              <w:spacing w:after="60" w:before="300"/>
              <w:ind/>
              <w:outlineLvl w:val="3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6 месяцев</w:t>
            </w:r>
          </w:p>
        </w:tc>
        <w:tc>
          <w:tcPr>
            <w:tcW w:type="dxa" w:w="1694"/>
          </w:tcPr>
          <w:p w14:paraId="DC000000">
            <w:pPr>
              <w:spacing w:after="60" w:before="300"/>
              <w:ind/>
              <w:outlineLvl w:val="3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6 месяцев</w:t>
            </w:r>
          </w:p>
        </w:tc>
      </w:tr>
      <w:tr>
        <w:tc>
          <w:tcPr>
            <w:tcW w:type="dxa" w:w="5949"/>
          </w:tcPr>
          <w:p w14:paraId="DD000000">
            <w:pPr>
              <w:spacing w:after="60" w:before="300"/>
              <w:ind/>
              <w:outlineLvl w:val="3"/>
              <w:rPr>
                <w:rFonts w:ascii="Arial" w:hAnsi="Arial"/>
                <w:color w:val="000000"/>
                <w:sz w:val="20"/>
              </w:rPr>
            </w:pPr>
            <w:r>
              <w:rPr>
                <w:rFonts w:ascii="Arial" w:hAnsi="Arial"/>
                <w:color w:val="000000"/>
                <w:sz w:val="20"/>
              </w:rPr>
              <w:t xml:space="preserve">9.Мостовидный протез с опорой на </w:t>
            </w:r>
            <w:r>
              <w:rPr>
                <w:rFonts w:ascii="Arial" w:hAnsi="Arial"/>
                <w:color w:val="000000"/>
                <w:sz w:val="20"/>
              </w:rPr>
              <w:t>импланты</w:t>
            </w:r>
          </w:p>
        </w:tc>
        <w:tc>
          <w:tcPr>
            <w:tcW w:type="dxa" w:w="1701"/>
          </w:tcPr>
          <w:p w14:paraId="DE000000">
            <w:pPr>
              <w:spacing w:after="60" w:before="300"/>
              <w:ind/>
              <w:outlineLvl w:val="3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12 месяцев</w:t>
            </w:r>
          </w:p>
        </w:tc>
        <w:tc>
          <w:tcPr>
            <w:tcW w:type="dxa" w:w="1694"/>
          </w:tcPr>
          <w:p w14:paraId="DF000000">
            <w:pPr>
              <w:spacing w:after="60" w:before="300"/>
              <w:ind/>
              <w:outlineLvl w:val="3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 xml:space="preserve">7 </w:t>
            </w:r>
            <w:r>
              <w:rPr>
                <w:rFonts w:ascii="Arial" w:hAnsi="Arial"/>
                <w:b w:val="1"/>
                <w:color w:val="000000"/>
                <w:sz w:val="20"/>
              </w:rPr>
              <w:t>лет</w:t>
            </w:r>
          </w:p>
        </w:tc>
      </w:tr>
      <w:tr>
        <w:tc>
          <w:tcPr>
            <w:tcW w:type="dxa" w:w="5949"/>
          </w:tcPr>
          <w:p w14:paraId="E0000000">
            <w:pPr>
              <w:spacing w:after="60" w:before="300"/>
              <w:ind/>
              <w:outlineLvl w:val="3"/>
              <w:rPr>
                <w:rFonts w:ascii="Arial" w:hAnsi="Arial"/>
                <w:color w:val="000000"/>
                <w:sz w:val="20"/>
              </w:rPr>
            </w:pPr>
            <w:r>
              <w:rPr>
                <w:rFonts w:ascii="Arial" w:hAnsi="Arial"/>
                <w:color w:val="000000"/>
                <w:sz w:val="20"/>
              </w:rPr>
              <w:t xml:space="preserve">10.Съемный протез с опорой на </w:t>
            </w:r>
            <w:r>
              <w:rPr>
                <w:rFonts w:ascii="Arial" w:hAnsi="Arial"/>
                <w:color w:val="000000"/>
                <w:sz w:val="20"/>
              </w:rPr>
              <w:t>импланты</w:t>
            </w:r>
          </w:p>
        </w:tc>
        <w:tc>
          <w:tcPr>
            <w:tcW w:type="dxa" w:w="1701"/>
          </w:tcPr>
          <w:p w14:paraId="E1000000">
            <w:pPr>
              <w:spacing w:after="60" w:before="300"/>
              <w:ind/>
              <w:outlineLvl w:val="3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12 месяцев</w:t>
            </w:r>
          </w:p>
        </w:tc>
        <w:tc>
          <w:tcPr>
            <w:tcW w:type="dxa" w:w="1694"/>
          </w:tcPr>
          <w:p w14:paraId="E2000000">
            <w:pPr>
              <w:spacing w:after="60" w:before="300"/>
              <w:ind/>
              <w:outlineLvl w:val="3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3 года</w:t>
            </w:r>
          </w:p>
        </w:tc>
      </w:tr>
      <w:tr>
        <w:tc>
          <w:tcPr>
            <w:tcW w:type="dxa" w:w="5949"/>
          </w:tcPr>
          <w:p w14:paraId="E3000000">
            <w:pPr>
              <w:spacing w:after="60" w:before="300"/>
              <w:ind/>
              <w:outlineLvl w:val="3"/>
              <w:rPr>
                <w:rFonts w:ascii="Arial" w:hAnsi="Arial"/>
                <w:color w:val="000000"/>
                <w:sz w:val="20"/>
              </w:rPr>
            </w:pPr>
            <w:r>
              <w:rPr>
                <w:rFonts w:ascii="Arial" w:hAnsi="Arial"/>
                <w:color w:val="000000"/>
                <w:sz w:val="20"/>
              </w:rPr>
              <w:t>11.Абатмент (индивидуальный,</w:t>
            </w:r>
            <w:r>
              <w:rPr>
                <w:rFonts w:ascii="Arial" w:hAnsi="Arial"/>
                <w:color w:val="000000"/>
                <w:sz w:val="20"/>
              </w:rPr>
              <w:t xml:space="preserve"> </w:t>
            </w:r>
            <w:r>
              <w:rPr>
                <w:rFonts w:ascii="Arial" w:hAnsi="Arial"/>
                <w:color w:val="000000"/>
                <w:sz w:val="20"/>
              </w:rPr>
              <w:t>стандартный)</w:t>
            </w:r>
          </w:p>
        </w:tc>
        <w:tc>
          <w:tcPr>
            <w:tcW w:type="dxa" w:w="1701"/>
          </w:tcPr>
          <w:p w14:paraId="E4000000">
            <w:pPr>
              <w:spacing w:after="60" w:before="300"/>
              <w:ind/>
              <w:outlineLvl w:val="3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12 месяцев</w:t>
            </w:r>
          </w:p>
        </w:tc>
        <w:tc>
          <w:tcPr>
            <w:tcW w:type="dxa" w:w="1694"/>
          </w:tcPr>
          <w:p w14:paraId="E5000000">
            <w:pPr>
              <w:spacing w:after="60" w:before="300"/>
              <w:ind/>
              <w:outlineLvl w:val="3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7 лет</w:t>
            </w:r>
          </w:p>
        </w:tc>
      </w:tr>
    </w:tbl>
    <w:p w14:paraId="E6000000">
      <w:pPr>
        <w:spacing w:after="60" w:before="300"/>
        <w:ind/>
        <w:outlineLvl w:val="3"/>
        <w:rPr>
          <w:rFonts w:ascii="Arial" w:hAnsi="Arial"/>
          <w:b w:val="1"/>
          <w:color w:val="000000"/>
          <w:sz w:val="20"/>
        </w:rPr>
      </w:pPr>
      <w:r>
        <w:rPr>
          <w:rFonts w:ascii="Arial" w:hAnsi="Arial"/>
          <w:b w:val="1"/>
          <w:color w:val="000000"/>
          <w:sz w:val="20"/>
        </w:rPr>
        <w:t xml:space="preserve">* Ввиду биологической природы процессов регенерации тканей гарантийный срок на </w:t>
      </w:r>
      <w:r>
        <w:rPr>
          <w:rFonts w:ascii="Arial" w:hAnsi="Arial"/>
          <w:b w:val="1"/>
          <w:color w:val="000000"/>
          <w:sz w:val="20"/>
        </w:rPr>
        <w:t>остеопластические</w:t>
      </w:r>
      <w:r>
        <w:rPr>
          <w:rFonts w:ascii="Arial" w:hAnsi="Arial"/>
          <w:b w:val="1"/>
          <w:color w:val="000000"/>
          <w:sz w:val="20"/>
        </w:rPr>
        <w:t xml:space="preserve"> операции не устанавливается. Клиника </w:t>
      </w:r>
      <w:r>
        <w:rPr>
          <w:rFonts w:ascii="Arial" w:hAnsi="Arial"/>
          <w:b w:val="1"/>
          <w:color w:val="000000"/>
          <w:sz w:val="20"/>
        </w:rPr>
        <w:t>гарантирует соблюдение технологии проведения операции,</w:t>
      </w:r>
      <w:r>
        <w:rPr>
          <w:rFonts w:ascii="Arial" w:hAnsi="Arial"/>
          <w:b w:val="1"/>
          <w:color w:val="000000"/>
          <w:sz w:val="20"/>
        </w:rPr>
        <w:t xml:space="preserve"> </w:t>
      </w:r>
      <w:r>
        <w:rPr>
          <w:rFonts w:ascii="Arial" w:hAnsi="Arial"/>
          <w:b w:val="1"/>
          <w:color w:val="000000"/>
          <w:sz w:val="20"/>
        </w:rPr>
        <w:t>но не может гарантировать объем приживленного костного трансплантата.</w:t>
      </w:r>
    </w:p>
    <w:p w14:paraId="E7000000">
      <w:pPr>
        <w:spacing w:after="60" w:before="300"/>
        <w:ind/>
        <w:outlineLvl w:val="3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При неудовлетворительной гигиене полости рта гарантийный срок на ортопедические конструкции на </w:t>
      </w:r>
      <w:r>
        <w:rPr>
          <w:rFonts w:ascii="Arial" w:hAnsi="Arial"/>
          <w:color w:val="000000"/>
          <w:sz w:val="20"/>
        </w:rPr>
        <w:t>имплантах</w:t>
      </w:r>
      <w:r>
        <w:rPr>
          <w:rFonts w:ascii="Arial" w:hAnsi="Arial"/>
          <w:color w:val="000000"/>
          <w:sz w:val="20"/>
        </w:rPr>
        <w:t xml:space="preserve"> может быть уменьшен н</w:t>
      </w:r>
      <w:r>
        <w:rPr>
          <w:rFonts w:ascii="Arial" w:hAnsi="Arial"/>
          <w:color w:val="000000"/>
          <w:sz w:val="20"/>
        </w:rPr>
        <w:t>а 50%.</w:t>
      </w:r>
    </w:p>
    <w:p w14:paraId="E8000000">
      <w:pPr>
        <w:spacing w:after="120" w:before="120" w:line="420" w:lineRule="atLeast"/>
        <w:ind/>
        <w:rPr>
          <w:rFonts w:ascii="Arial" w:hAnsi="Arial"/>
          <w:b w:val="1"/>
          <w:color w:val="000000"/>
          <w:sz w:val="27"/>
        </w:rPr>
      </w:pPr>
      <w:r>
        <w:rPr>
          <w:rFonts w:ascii="Arial" w:hAnsi="Arial"/>
          <w:color w:val="000000"/>
          <w:sz w:val="20"/>
        </w:rPr>
        <w:t xml:space="preserve"> Если в течении гарантийного срока пациент обратился за оказанием стоматологической помощи (протезированием,</w:t>
      </w:r>
      <w:r>
        <w:rPr>
          <w:rFonts w:ascii="Arial" w:hAnsi="Arial"/>
          <w:color w:val="000000"/>
          <w:sz w:val="20"/>
        </w:rPr>
        <w:t xml:space="preserve"> </w:t>
      </w:r>
      <w:r>
        <w:rPr>
          <w:rFonts w:ascii="Arial" w:hAnsi="Arial"/>
          <w:color w:val="000000"/>
          <w:sz w:val="20"/>
        </w:rPr>
        <w:t>коррекцией) в другую стоматологию гарантийный срок прерывается и не возобновляется.</w:t>
      </w:r>
      <w:r>
        <w:rPr>
          <w:rFonts w:ascii="Arial" w:hAnsi="Arial"/>
          <w:b w:val="1"/>
          <w:color w:val="000000"/>
          <w:sz w:val="27"/>
        </w:rPr>
        <w:t xml:space="preserve"> </w:t>
      </w:r>
    </w:p>
    <w:p w14:paraId="E900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b w:val="1"/>
          <w:color w:val="000000"/>
          <w:sz w:val="27"/>
        </w:rPr>
        <w:t xml:space="preserve"> </w:t>
      </w:r>
      <w:r>
        <w:rPr>
          <w:rFonts w:ascii="Arial" w:hAnsi="Arial"/>
          <w:b w:val="1"/>
          <w:color w:val="000000"/>
          <w:sz w:val="20"/>
        </w:rPr>
        <w:t>Особые условия гарантии при дентальной имплантации</w:t>
      </w:r>
    </w:p>
    <w:p w14:paraId="EA00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 Гарантия на имплантацию подразделяется на три самостоятельных вида: </w:t>
      </w:r>
    </w:p>
    <w:p w14:paraId="EB000000">
      <w:pPr>
        <w:spacing w:after="60" w:before="300"/>
        <w:ind/>
        <w:outlineLvl w:val="3"/>
        <w:rPr>
          <w:rFonts w:ascii="Arial" w:hAnsi="Arial"/>
          <w:b w:val="1"/>
          <w:color w:val="000000"/>
          <w:sz w:val="20"/>
        </w:rPr>
      </w:pPr>
      <w:r>
        <w:rPr>
          <w:rFonts w:ascii="Arial" w:hAnsi="Arial"/>
          <w:b w:val="1"/>
          <w:color w:val="000000"/>
          <w:sz w:val="20"/>
        </w:rPr>
        <w:t>Гарантия производителя имплантата</w:t>
      </w:r>
    </w:p>
    <w:p w14:paraId="EC00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 Производитель имплантата предоставляет гарантию на изделие (структурную целостность, отсутствие заводских дефектов). Срок гарантии производителя указывается в паспорте (сертификате) изделия, который выдаётся пациенту на руки после установки имплантата. </w:t>
      </w:r>
    </w:p>
    <w:p w14:paraId="ED00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В случае отторжения имплантата по причине заводского дефекта, подтверждённого независимой медико-технической экспертизой, производитель обязуется заменить изделие. </w:t>
      </w:r>
    </w:p>
    <w:p w14:paraId="EE00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 Гарантия производителя не включает оплату работы врача, анестезию, расходные материалы, костную пластику или повторное протезирование, если иное не предусмотрено условиями производителя. </w:t>
      </w:r>
    </w:p>
    <w:p w14:paraId="EF000000">
      <w:pPr>
        <w:spacing w:after="60" w:before="300"/>
        <w:ind/>
        <w:outlineLvl w:val="3"/>
        <w:rPr>
          <w:rFonts w:ascii="Arial" w:hAnsi="Arial"/>
          <w:b w:val="1"/>
          <w:color w:val="000000"/>
          <w:sz w:val="20"/>
        </w:rPr>
      </w:pPr>
      <w:r>
        <w:rPr>
          <w:rFonts w:ascii="Arial" w:hAnsi="Arial"/>
          <w:b w:val="1"/>
          <w:color w:val="000000"/>
          <w:sz w:val="20"/>
        </w:rPr>
        <w:t xml:space="preserve"> Гарантия Клиники на хирургический этап (</w:t>
      </w:r>
      <w:r>
        <w:rPr>
          <w:rFonts w:ascii="Arial" w:hAnsi="Arial"/>
          <w:b w:val="1"/>
          <w:color w:val="000000"/>
          <w:sz w:val="20"/>
        </w:rPr>
        <w:t>остеоинтеграцию</w:t>
      </w:r>
      <w:r>
        <w:rPr>
          <w:rFonts w:ascii="Arial" w:hAnsi="Arial"/>
          <w:b w:val="1"/>
          <w:color w:val="000000"/>
          <w:sz w:val="20"/>
        </w:rPr>
        <w:t>)</w:t>
      </w:r>
    </w:p>
    <w:p w14:paraId="F000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 Клиника гарантирует качество оказания хирургической услуги: правильную диагностику, планирование, соблюдение протокола установки имплантата, асептику и антисепт</w:t>
      </w:r>
      <w:r>
        <w:rPr>
          <w:rFonts w:ascii="Arial" w:hAnsi="Arial"/>
          <w:color w:val="000000"/>
          <w:sz w:val="20"/>
        </w:rPr>
        <w:t>ику, послеоперационное ведение П</w:t>
      </w:r>
      <w:r>
        <w:rPr>
          <w:rFonts w:ascii="Arial" w:hAnsi="Arial"/>
          <w:color w:val="000000"/>
          <w:sz w:val="20"/>
        </w:rPr>
        <w:t>ациента. </w:t>
      </w:r>
    </w:p>
    <w:p w14:paraId="F100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 </w:t>
      </w:r>
      <w:r>
        <w:rPr>
          <w:rFonts w:ascii="Arial" w:hAnsi="Arial"/>
          <w:b w:val="1"/>
          <w:color w:val="000000"/>
          <w:sz w:val="20"/>
        </w:rPr>
        <w:t xml:space="preserve">Если имплантат не прижился (не произошла </w:t>
      </w:r>
      <w:r>
        <w:rPr>
          <w:rFonts w:ascii="Arial" w:hAnsi="Arial"/>
          <w:b w:val="1"/>
          <w:color w:val="000000"/>
          <w:sz w:val="20"/>
        </w:rPr>
        <w:t>остеоинтеграция</w:t>
      </w:r>
      <w:r>
        <w:rPr>
          <w:rFonts w:ascii="Arial" w:hAnsi="Arial"/>
          <w:b w:val="1"/>
          <w:color w:val="000000"/>
          <w:sz w:val="20"/>
        </w:rPr>
        <w:t>) до начала протезирования</w:t>
      </w:r>
      <w:r>
        <w:rPr>
          <w:rFonts w:ascii="Arial" w:hAnsi="Arial"/>
          <w:color w:val="000000"/>
          <w:sz w:val="20"/>
        </w:rPr>
        <w:t xml:space="preserve"> и </w:t>
      </w:r>
      <w:r>
        <w:rPr>
          <w:rFonts w:ascii="Arial" w:hAnsi="Arial"/>
          <w:color w:val="000000"/>
          <w:sz w:val="20"/>
        </w:rPr>
        <w:t>в течение гарантийного срока (12 месяцев</w:t>
      </w:r>
      <w:r>
        <w:rPr>
          <w:rFonts w:ascii="Arial" w:hAnsi="Arial"/>
          <w:color w:val="000000"/>
          <w:sz w:val="20"/>
        </w:rPr>
        <w:t>) с даты установки, Клиника обязуется:</w:t>
      </w:r>
    </w:p>
    <w:p w14:paraId="F2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удалить несостоятельный имплантат;</w:t>
      </w:r>
    </w:p>
    <w:p w14:paraId="F3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бесплатно установить новый имплантат аналогичной или равноценной системы;</w:t>
      </w:r>
    </w:p>
    <w:p w14:paraId="F400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при условии дальнейшего ортопедического </w:t>
      </w:r>
      <w:r>
        <w:rPr>
          <w:rFonts w:ascii="Arial" w:hAnsi="Arial"/>
          <w:color w:val="000000"/>
          <w:sz w:val="20"/>
        </w:rPr>
        <w:t>лечения в Клинике и соблюдения П</w:t>
      </w:r>
      <w:r>
        <w:rPr>
          <w:rFonts w:ascii="Arial" w:hAnsi="Arial"/>
          <w:color w:val="000000"/>
          <w:sz w:val="20"/>
        </w:rPr>
        <w:t>ациентом всех рекомендаций врача. </w:t>
      </w:r>
    </w:p>
    <w:p w14:paraId="F500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b w:val="1"/>
          <w:color w:val="000000"/>
          <w:sz w:val="20"/>
        </w:rPr>
        <w:t>Если имплантат не прижился после завершения протезирования</w:t>
      </w:r>
      <w:r>
        <w:rPr>
          <w:rFonts w:ascii="Arial" w:hAnsi="Arial"/>
          <w:color w:val="000000"/>
          <w:sz w:val="20"/>
        </w:rPr>
        <w:t> и в течение гарантийного срока, Клиника обязуется:</w:t>
      </w:r>
    </w:p>
    <w:p w14:paraId="F6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удалить несостоятельный имплантат;</w:t>
      </w:r>
    </w:p>
    <w:p w14:paraId="F7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бесплатно установить новый имплантат;</w:t>
      </w:r>
    </w:p>
    <w:p w14:paraId="F800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При этом пациент оплачивает 50% стоимости повторной установки </w:t>
      </w:r>
      <w:r>
        <w:rPr>
          <w:rFonts w:ascii="Arial" w:hAnsi="Arial"/>
          <w:color w:val="000000"/>
          <w:sz w:val="20"/>
        </w:rPr>
        <w:t>абатмента</w:t>
      </w:r>
      <w:r>
        <w:rPr>
          <w:rFonts w:ascii="Arial" w:hAnsi="Arial"/>
          <w:color w:val="000000"/>
          <w:sz w:val="20"/>
        </w:rPr>
        <w:t xml:space="preserve"> и изготовления коронки. </w:t>
      </w:r>
    </w:p>
    <w:p w14:paraId="F9000000">
      <w:pPr>
        <w:spacing w:after="120" w:before="120"/>
        <w:ind/>
        <w:rPr>
          <w:rFonts w:ascii="Arial" w:hAnsi="Arial"/>
          <w:b w:val="1"/>
          <w:color w:val="000000"/>
          <w:sz w:val="20"/>
        </w:rPr>
      </w:pPr>
      <w:r>
        <w:rPr>
          <w:rFonts w:ascii="Arial" w:hAnsi="Arial"/>
          <w:b w:val="1"/>
          <w:color w:val="000000"/>
          <w:sz w:val="20"/>
        </w:rPr>
        <w:t xml:space="preserve">Пациент должен понимать, что существует риск отторжения имплантатов даже при полном соблюдении Клиникой всех предусмотренных стандартов оказания медицинской услуги. Биологический результат </w:t>
      </w:r>
      <w:r>
        <w:rPr>
          <w:rFonts w:ascii="Arial" w:hAnsi="Arial"/>
          <w:b w:val="1"/>
          <w:color w:val="000000"/>
          <w:sz w:val="20"/>
        </w:rPr>
        <w:t>остеоинтеграции</w:t>
      </w:r>
      <w:r>
        <w:rPr>
          <w:rFonts w:ascii="Arial" w:hAnsi="Arial"/>
          <w:b w:val="1"/>
          <w:color w:val="000000"/>
          <w:sz w:val="20"/>
        </w:rPr>
        <w:t xml:space="preserve"> зависит от индивидуальных особенностей организма и не может быть гарантирован со 100%-й вероятностью. </w:t>
      </w:r>
    </w:p>
    <w:p w14:paraId="FA000000">
      <w:pPr>
        <w:spacing w:after="60" w:before="300"/>
        <w:ind/>
        <w:outlineLvl w:val="3"/>
        <w:rPr>
          <w:rFonts w:ascii="Arial" w:hAnsi="Arial"/>
          <w:b w:val="1"/>
          <w:color w:val="000000"/>
          <w:sz w:val="20"/>
        </w:rPr>
      </w:pPr>
      <w:r>
        <w:rPr>
          <w:rFonts w:ascii="Arial" w:hAnsi="Arial"/>
          <w:b w:val="1"/>
          <w:color w:val="000000"/>
          <w:sz w:val="20"/>
        </w:rPr>
        <w:t>Гарантия Клиники на ортопедический этап (протезирование на имплантатах)</w:t>
      </w:r>
    </w:p>
    <w:p w14:paraId="FB00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Гарантия на ортопедические конструкции, установленные на имплантатах (коронки, мостовидные протезы, съёмные протезы), действует в соответствии с таблицей. </w:t>
      </w:r>
    </w:p>
    <w:p w14:paraId="FC00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 Гарантия на ортопедическую конструкцию не распространяется на:</w:t>
      </w:r>
    </w:p>
    <w:p w14:paraId="FD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сколы и трещины керамического покрытия, возникшие в результате чрезмерной жевательной нагрузки, травмы или </w:t>
      </w:r>
      <w:r>
        <w:rPr>
          <w:rFonts w:ascii="Arial" w:hAnsi="Arial"/>
          <w:color w:val="000000"/>
          <w:sz w:val="20"/>
        </w:rPr>
        <w:t>бруксизма</w:t>
      </w:r>
      <w:r>
        <w:rPr>
          <w:rFonts w:ascii="Arial" w:hAnsi="Arial"/>
          <w:color w:val="000000"/>
          <w:sz w:val="20"/>
        </w:rPr>
        <w:t>;</w:t>
      </w:r>
    </w:p>
    <w:p w14:paraId="FE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изменение цвета конструкции под воздействием внешних факторов;</w:t>
      </w:r>
    </w:p>
    <w:p w14:paraId="FF00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расфиксацию</w:t>
      </w:r>
      <w:r>
        <w:rPr>
          <w:rFonts w:ascii="Arial" w:hAnsi="Arial"/>
          <w:color w:val="000000"/>
          <w:sz w:val="20"/>
        </w:rPr>
        <w:t xml:space="preserve"> конструкции, вызванную воспалением тканей вокруг имплантата (</w:t>
      </w:r>
      <w:r>
        <w:rPr>
          <w:rFonts w:ascii="Arial" w:hAnsi="Arial"/>
          <w:color w:val="000000"/>
          <w:sz w:val="20"/>
        </w:rPr>
        <w:t>периимплантитом</w:t>
      </w:r>
      <w:r>
        <w:rPr>
          <w:rFonts w:ascii="Arial" w:hAnsi="Arial"/>
          <w:color w:val="000000"/>
          <w:sz w:val="20"/>
        </w:rPr>
        <w:t>), если воспаление возникло по причинам, не зависящим от качества оказанной услуги.</w:t>
      </w:r>
    </w:p>
    <w:p w14:paraId="00010000">
      <w:pPr>
        <w:spacing w:after="60" w:before="300"/>
        <w:ind/>
        <w:outlineLvl w:val="3"/>
        <w:rPr>
          <w:rFonts w:ascii="Arial" w:hAnsi="Arial"/>
          <w:b w:val="1"/>
          <w:color w:val="000000"/>
          <w:sz w:val="20"/>
        </w:rPr>
      </w:pPr>
      <w:r>
        <w:rPr>
          <w:rFonts w:ascii="Arial" w:hAnsi="Arial"/>
          <w:b w:val="1"/>
          <w:color w:val="000000"/>
          <w:sz w:val="20"/>
        </w:rPr>
        <w:t>Гарантия Клиники на ортопедический этап (протезирование на имплантатах)</w:t>
      </w:r>
    </w:p>
    <w:p w14:paraId="0101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Гарантия на ортопедические конструкции, установленные на имплантатах (коронки, мостовидные протезы, съёмные протезы), дейс</w:t>
      </w:r>
      <w:r>
        <w:rPr>
          <w:rFonts w:ascii="Arial" w:hAnsi="Arial"/>
          <w:color w:val="000000"/>
          <w:sz w:val="20"/>
        </w:rPr>
        <w:t xml:space="preserve">твует в соответствии </w:t>
      </w:r>
      <w:r>
        <w:rPr>
          <w:rFonts w:ascii="Arial" w:hAnsi="Arial"/>
          <w:color w:val="000000"/>
          <w:sz w:val="20"/>
        </w:rPr>
        <w:t>с таблицей.</w:t>
      </w:r>
      <w:r>
        <w:rPr>
          <w:rFonts w:ascii="Arial" w:hAnsi="Arial"/>
          <w:color w:val="000000"/>
          <w:sz w:val="20"/>
        </w:rPr>
        <w:t> </w:t>
      </w:r>
    </w:p>
    <w:p w14:paraId="0201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 Гарантия на ортопедическую конструкцию не распространяется на:</w:t>
      </w:r>
    </w:p>
    <w:p w14:paraId="0301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сколы и трещины керамического покрытия, возникшие в результате чрезмерной жевательной нагрузки, травмы или </w:t>
      </w:r>
      <w:r>
        <w:rPr>
          <w:rFonts w:ascii="Arial" w:hAnsi="Arial"/>
          <w:color w:val="000000"/>
          <w:sz w:val="20"/>
        </w:rPr>
        <w:t>бруксизма</w:t>
      </w:r>
      <w:r>
        <w:rPr>
          <w:rFonts w:ascii="Arial" w:hAnsi="Arial"/>
          <w:color w:val="000000"/>
          <w:sz w:val="20"/>
        </w:rPr>
        <w:t>;</w:t>
      </w:r>
    </w:p>
    <w:p w14:paraId="0401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изменение ц</w:t>
      </w:r>
      <w:r>
        <w:rPr>
          <w:rFonts w:ascii="Arial" w:hAnsi="Arial"/>
          <w:color w:val="000000"/>
          <w:sz w:val="20"/>
        </w:rPr>
        <w:t>вета конструкции под воздействием внешних факторов;</w:t>
      </w:r>
    </w:p>
    <w:p w14:paraId="0501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расфиксацию</w:t>
      </w:r>
      <w:r>
        <w:rPr>
          <w:rFonts w:ascii="Arial" w:hAnsi="Arial"/>
          <w:color w:val="000000"/>
          <w:sz w:val="20"/>
        </w:rPr>
        <w:t xml:space="preserve"> конструкции, вызванную воспалением тканей вокруг имплантата (</w:t>
      </w:r>
      <w:r>
        <w:rPr>
          <w:rFonts w:ascii="Arial" w:hAnsi="Arial"/>
          <w:color w:val="000000"/>
          <w:sz w:val="20"/>
        </w:rPr>
        <w:t>периимплантитом</w:t>
      </w:r>
      <w:r>
        <w:rPr>
          <w:rFonts w:ascii="Arial" w:hAnsi="Arial"/>
          <w:color w:val="000000"/>
          <w:sz w:val="20"/>
        </w:rPr>
        <w:t>), если воспаление возникло по причинам, не зависящим от качества оказанной услуги.</w:t>
      </w:r>
    </w:p>
    <w:p w14:paraId="06010000">
      <w:pPr>
        <w:spacing w:after="480" w:before="480"/>
        <w:ind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inline>
                <wp:extent cx="0" cy="19050"/>
                <wp:docPr hidden="false" id="9" name="Picture 9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07010000">
      <w:pPr>
        <w:spacing w:after="120" w:before="300"/>
        <w:ind/>
        <w:outlineLvl w:val="2"/>
        <w:rPr>
          <w:rFonts w:ascii="Arial" w:hAnsi="Arial"/>
          <w:b w:val="1"/>
          <w:color w:val="000000"/>
          <w:sz w:val="20"/>
        </w:rPr>
      </w:pPr>
      <w:r>
        <w:rPr>
          <w:rFonts w:ascii="Arial" w:hAnsi="Arial"/>
          <w:b w:val="1"/>
          <w:color w:val="000000"/>
          <w:sz w:val="20"/>
        </w:rPr>
        <w:t xml:space="preserve"> Условия сохранения гарантии</w:t>
      </w:r>
      <w:r>
        <w:rPr>
          <w:rFonts w:ascii="Arial" w:hAnsi="Arial"/>
          <w:b w:val="1"/>
          <w:color w:val="000000"/>
          <w:sz w:val="20"/>
        </w:rPr>
        <w:t xml:space="preserve"> при имплантации</w:t>
      </w:r>
    </w:p>
    <w:p w14:paraId="0801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Для сохранения гара</w:t>
      </w:r>
      <w:r>
        <w:rPr>
          <w:rFonts w:ascii="Arial" w:hAnsi="Arial"/>
          <w:color w:val="000000"/>
          <w:sz w:val="20"/>
        </w:rPr>
        <w:t>нтии на дентальную имплантацию П</w:t>
      </w:r>
      <w:r>
        <w:rPr>
          <w:rFonts w:ascii="Arial" w:hAnsi="Arial"/>
          <w:color w:val="000000"/>
          <w:sz w:val="20"/>
        </w:rPr>
        <w:t>ациент обязан: </w:t>
      </w:r>
    </w:p>
    <w:p w14:paraId="0901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проходить контрольные осмотры у врача-хирурга/</w:t>
      </w:r>
      <w:r>
        <w:rPr>
          <w:rFonts w:ascii="Arial" w:hAnsi="Arial"/>
          <w:color w:val="000000"/>
          <w:sz w:val="20"/>
        </w:rPr>
        <w:t>имплантолога</w:t>
      </w:r>
      <w:r>
        <w:rPr>
          <w:rFonts w:ascii="Arial" w:hAnsi="Arial"/>
          <w:color w:val="000000"/>
          <w:sz w:val="20"/>
        </w:rPr>
        <w:t xml:space="preserve"> в сроки, рекомендованные врачом, но не реже 1 раза в 6 месяцев;</w:t>
      </w:r>
    </w:p>
    <w:p w14:paraId="0A01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проходить профессиональную гигиену полости р</w:t>
      </w:r>
      <w:r>
        <w:rPr>
          <w:rFonts w:ascii="Arial" w:hAnsi="Arial"/>
          <w:color w:val="000000"/>
          <w:sz w:val="20"/>
        </w:rPr>
        <w:t>та не реже 1 раза в 6 месяцев;</w:t>
      </w:r>
    </w:p>
    <w:p w14:paraId="0B01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первое гигиеническое наблюдение за состоянием протезов на имплантатах — через 1 месяц после установки постоянной конструкции;</w:t>
      </w:r>
    </w:p>
    <w:p w14:paraId="0C01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соблюдать рекомендации по гигиене полости рта с использованием рекомендованных средств (зубная нить</w:t>
      </w:r>
      <w:r>
        <w:rPr>
          <w:rFonts w:ascii="Arial" w:hAnsi="Arial"/>
          <w:color w:val="000000"/>
          <w:sz w:val="20"/>
        </w:rPr>
        <w:t>, ирригатор, межзубные ёршики);</w:t>
      </w:r>
    </w:p>
    <w:p w14:paraId="0D01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своевременно (в течение 7 дней) обращаться в Клинику при появлении боли, отёка, кровоточивости, подвижности конструкции или иных жалоб;</w:t>
      </w:r>
    </w:p>
    <w:p w14:paraId="0E01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проходить рентгенологический контроль по рекомендациям врача;</w:t>
      </w:r>
    </w:p>
    <w:p w14:paraId="0F01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не затягивать сроки устано</w:t>
      </w:r>
      <w:r>
        <w:rPr>
          <w:rFonts w:ascii="Arial" w:hAnsi="Arial"/>
          <w:color w:val="000000"/>
          <w:sz w:val="20"/>
        </w:rPr>
        <w:t>вки формирователя десны и постоянной ортопедической конструкции после приживления имплантата;</w:t>
      </w:r>
    </w:p>
    <w:p w14:paraId="1001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не ку</w:t>
      </w:r>
      <w:r>
        <w:rPr>
          <w:rFonts w:ascii="Arial" w:hAnsi="Arial"/>
          <w:color w:val="000000"/>
          <w:sz w:val="20"/>
        </w:rPr>
        <w:t xml:space="preserve">рить в период </w:t>
      </w:r>
      <w:r>
        <w:rPr>
          <w:rFonts w:ascii="Arial" w:hAnsi="Arial"/>
          <w:color w:val="000000"/>
          <w:sz w:val="20"/>
        </w:rPr>
        <w:t>остеоинтеграции</w:t>
      </w:r>
      <w:r>
        <w:rPr>
          <w:rFonts w:ascii="Arial" w:hAnsi="Arial"/>
          <w:color w:val="000000"/>
          <w:sz w:val="20"/>
        </w:rPr>
        <w:t xml:space="preserve"> (2</w:t>
      </w:r>
      <w:r>
        <w:rPr>
          <w:rFonts w:ascii="Arial" w:hAnsi="Arial"/>
          <w:color w:val="000000"/>
          <w:sz w:val="20"/>
        </w:rPr>
        <w:t>–4 месяца после операции) или информировать врача о привычке до начала лечения; </w:t>
      </w:r>
    </w:p>
    <w:p w14:paraId="1101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информировать врача о приёме лекарственных п</w:t>
      </w:r>
      <w:r>
        <w:rPr>
          <w:rFonts w:ascii="Arial" w:hAnsi="Arial"/>
          <w:color w:val="000000"/>
          <w:sz w:val="20"/>
        </w:rPr>
        <w:t xml:space="preserve">репаратов, влияющих на </w:t>
      </w:r>
      <w:r>
        <w:rPr>
          <w:rFonts w:ascii="Arial" w:hAnsi="Arial"/>
          <w:color w:val="000000"/>
          <w:sz w:val="20"/>
        </w:rPr>
        <w:t>остеоинтеграцию</w:t>
      </w:r>
      <w:r>
        <w:rPr>
          <w:rFonts w:ascii="Arial" w:hAnsi="Arial"/>
          <w:color w:val="000000"/>
          <w:sz w:val="20"/>
        </w:rPr>
        <w:t xml:space="preserve"> (</w:t>
      </w:r>
      <w:r>
        <w:rPr>
          <w:rFonts w:ascii="Arial" w:hAnsi="Arial"/>
          <w:color w:val="000000"/>
          <w:sz w:val="20"/>
        </w:rPr>
        <w:t>бисфосфонаты</w:t>
      </w:r>
      <w:r>
        <w:rPr>
          <w:rFonts w:ascii="Arial" w:hAnsi="Arial"/>
          <w:color w:val="000000"/>
          <w:sz w:val="20"/>
        </w:rPr>
        <w:t>, иммунодепрессанты, антикоагулянты и др.).</w:t>
      </w:r>
    </w:p>
    <w:p w14:paraId="1201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 Гарантия аннулируется в случаях: </w:t>
      </w:r>
    </w:p>
    <w:p w14:paraId="1301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невыполнения П</w:t>
      </w:r>
      <w:r>
        <w:rPr>
          <w:rFonts w:ascii="Arial" w:hAnsi="Arial"/>
          <w:color w:val="000000"/>
          <w:sz w:val="20"/>
        </w:rPr>
        <w:t>ациентом рекомендаций врача;</w:t>
      </w:r>
    </w:p>
    <w:p w14:paraId="1401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пропуска обязательных контрольных осмотров;</w:t>
      </w:r>
    </w:p>
    <w:p w14:paraId="1501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отказа от профессиональной гигиены</w:t>
      </w:r>
      <w:r>
        <w:rPr>
          <w:rFonts w:ascii="Arial" w:hAnsi="Arial"/>
          <w:color w:val="000000"/>
          <w:sz w:val="20"/>
        </w:rPr>
        <w:t xml:space="preserve"> в рекомендованные сроки;</w:t>
      </w:r>
    </w:p>
    <w:p w14:paraId="1601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вмешательства со стороны другого медицинского учреждения без согласования с лечащим врачом;</w:t>
      </w:r>
    </w:p>
    <w:p w14:paraId="1701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сокрытия П</w:t>
      </w:r>
      <w:r>
        <w:rPr>
          <w:rFonts w:ascii="Arial" w:hAnsi="Arial"/>
          <w:color w:val="000000"/>
          <w:sz w:val="20"/>
        </w:rPr>
        <w:t>ациентом информации о заболеваниях, влияющих на приживление имплантата;</w:t>
      </w:r>
      <w:bookmarkStart w:id="1" w:name="_GoBack"/>
      <w:bookmarkEnd w:id="1"/>
    </w:p>
    <w:p w14:paraId="1801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несвоевременного обращения в Клинику при возникновении о</w:t>
      </w:r>
      <w:r>
        <w:rPr>
          <w:rFonts w:ascii="Arial" w:hAnsi="Arial"/>
          <w:color w:val="000000"/>
          <w:sz w:val="20"/>
        </w:rPr>
        <w:t>сложнений.</w:t>
      </w:r>
    </w:p>
    <w:p w14:paraId="19010000">
      <w:pPr>
        <w:pStyle w:val="Style_3"/>
        <w:spacing w:after="480" w:before="480"/>
        <w:ind/>
        <w:rPr>
          <w:rFonts w:ascii="Arial" w:hAnsi="Arial"/>
          <w:color w:val="000000"/>
          <w:sz w:val="24"/>
        </w:rPr>
      </w:pPr>
      <w:r>
        <w:rPr>
          <w:rFonts w:ascii="Arial" w:hAnsi="Arial"/>
          <w:b w:val="1"/>
          <w:color w:val="000000"/>
          <w:sz w:val="24"/>
        </w:rPr>
        <w:t>7.</w:t>
      </w:r>
      <w:r>
        <w:rPr>
          <w:rFonts w:ascii="Arial" w:hAnsi="Arial"/>
          <w:b w:val="1"/>
          <w:color w:val="000000"/>
          <w:sz w:val="24"/>
        </w:rPr>
        <w:t>П</w:t>
      </w:r>
      <w:r>
        <w:rPr>
          <w:rFonts w:ascii="Arial" w:hAnsi="Arial"/>
          <w:b w:val="1"/>
          <w:color w:val="000000"/>
          <w:sz w:val="24"/>
        </w:rPr>
        <w:t>орядок предъявления и рассмотрения претензий</w:t>
      </w:r>
    </w:p>
    <w:p w14:paraId="1A010000">
      <w:pPr>
        <w:spacing w:after="480" w:before="48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7</w:t>
      </w:r>
      <w:r>
        <w:rPr>
          <w:rFonts w:ascii="Arial" w:hAnsi="Arial"/>
          <w:color w:val="000000"/>
          <w:sz w:val="20"/>
        </w:rPr>
        <w:t>.1. При обнаружении</w:t>
      </w:r>
      <w:r>
        <w:rPr>
          <w:rFonts w:ascii="Arial" w:hAnsi="Arial"/>
          <w:color w:val="000000"/>
          <w:sz w:val="20"/>
        </w:rPr>
        <w:t xml:space="preserve"> недостатка в оказанной услуге П</w:t>
      </w:r>
      <w:r>
        <w:rPr>
          <w:rFonts w:ascii="Arial" w:hAnsi="Arial"/>
          <w:color w:val="000000"/>
          <w:sz w:val="20"/>
        </w:rPr>
        <w:t>ациент вправе обратиться в Клинику</w:t>
      </w:r>
      <w:r>
        <w:rPr>
          <w:rFonts w:ascii="Arial" w:hAnsi="Arial"/>
          <w:color w:val="000000"/>
          <w:sz w:val="20"/>
        </w:rPr>
        <w:t xml:space="preserve"> устно или</w:t>
      </w:r>
      <w:r>
        <w:rPr>
          <w:rFonts w:ascii="Arial" w:hAnsi="Arial"/>
          <w:color w:val="000000"/>
          <w:sz w:val="20"/>
        </w:rPr>
        <w:t xml:space="preserve"> с письменным заявлением (претензией). Претензия подаётся в период действия гарантийного срока.</w:t>
      </w:r>
    </w:p>
    <w:p w14:paraId="1B010000">
      <w:pPr>
        <w:spacing w:after="480" w:before="48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7</w:t>
      </w:r>
      <w:r>
        <w:rPr>
          <w:rFonts w:ascii="Arial" w:hAnsi="Arial"/>
          <w:color w:val="000000"/>
          <w:sz w:val="20"/>
        </w:rPr>
        <w:t xml:space="preserve">.2. В </w:t>
      </w:r>
      <w:r>
        <w:rPr>
          <w:rFonts w:ascii="Arial" w:hAnsi="Arial"/>
          <w:color w:val="000000"/>
          <w:sz w:val="20"/>
        </w:rPr>
        <w:t>претензии П</w:t>
      </w:r>
      <w:r>
        <w:rPr>
          <w:rFonts w:ascii="Arial" w:hAnsi="Arial"/>
          <w:color w:val="000000"/>
          <w:sz w:val="20"/>
        </w:rPr>
        <w:t>ациент указывает:</w:t>
      </w:r>
      <w:r>
        <w:rPr>
          <w:rFonts w:ascii="Arial" w:hAnsi="Arial"/>
          <w:color w:val="000000"/>
          <w:sz w:val="20"/>
        </w:rPr>
        <w:t xml:space="preserve"> </w:t>
      </w:r>
      <w:r>
        <w:rPr>
          <w:rFonts w:ascii="Arial" w:hAnsi="Arial"/>
          <w:color w:val="000000"/>
          <w:sz w:val="20"/>
        </w:rPr>
        <w:t>ФИО, контактные данные;</w:t>
      </w:r>
      <w:r>
        <w:rPr>
          <w:rFonts w:ascii="Arial" w:hAnsi="Arial"/>
          <w:color w:val="000000"/>
          <w:sz w:val="20"/>
        </w:rPr>
        <w:t xml:space="preserve"> </w:t>
      </w:r>
      <w:r>
        <w:rPr>
          <w:rFonts w:ascii="Arial" w:hAnsi="Arial"/>
          <w:color w:val="000000"/>
          <w:sz w:val="20"/>
        </w:rPr>
        <w:t>дату оказания услуги;</w:t>
      </w:r>
      <w:r>
        <w:rPr>
          <w:rFonts w:ascii="Arial" w:hAnsi="Arial"/>
          <w:color w:val="000000"/>
          <w:sz w:val="20"/>
        </w:rPr>
        <w:t xml:space="preserve"> </w:t>
      </w:r>
      <w:r>
        <w:rPr>
          <w:rFonts w:ascii="Arial" w:hAnsi="Arial"/>
          <w:color w:val="000000"/>
          <w:sz w:val="20"/>
        </w:rPr>
        <w:t>суть претензии и требуемое действие;</w:t>
      </w:r>
      <w:r>
        <w:rPr>
          <w:rFonts w:ascii="Arial" w:hAnsi="Arial"/>
          <w:color w:val="000000"/>
          <w:sz w:val="20"/>
        </w:rPr>
        <w:t xml:space="preserve"> </w:t>
      </w:r>
      <w:r>
        <w:rPr>
          <w:rFonts w:ascii="Arial" w:hAnsi="Arial"/>
          <w:color w:val="000000"/>
          <w:sz w:val="20"/>
        </w:rPr>
        <w:t>подпись и дату.</w:t>
      </w:r>
    </w:p>
    <w:p w14:paraId="1C01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7</w:t>
      </w:r>
      <w:r>
        <w:rPr>
          <w:rFonts w:ascii="Arial" w:hAnsi="Arial"/>
          <w:color w:val="000000"/>
          <w:sz w:val="20"/>
        </w:rPr>
        <w:t>.3. Клиника обязана рассмотреть претензию и принять решение в течение 10 рабочих дней с даты её поступления. </w:t>
      </w:r>
    </w:p>
    <w:p w14:paraId="1D01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7</w:t>
      </w:r>
      <w:r>
        <w:rPr>
          <w:rFonts w:ascii="Arial" w:hAnsi="Arial"/>
          <w:color w:val="000000"/>
          <w:sz w:val="20"/>
        </w:rPr>
        <w:t>.4. При необходи</w:t>
      </w:r>
      <w:r>
        <w:rPr>
          <w:rFonts w:ascii="Arial" w:hAnsi="Arial"/>
          <w:color w:val="000000"/>
          <w:sz w:val="20"/>
        </w:rPr>
        <w:t>мости Клиника проводит осмотр П</w:t>
      </w:r>
      <w:r>
        <w:rPr>
          <w:rFonts w:ascii="Arial" w:hAnsi="Arial"/>
          <w:color w:val="000000"/>
          <w:sz w:val="20"/>
        </w:rPr>
        <w:t>ациента лечащим врачом или врачебной комиссией для установления причинно-следственной связи между оказанной услугой и выявленным недостатком.</w:t>
      </w:r>
    </w:p>
    <w:p w14:paraId="1E01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7</w:t>
      </w:r>
      <w:r>
        <w:rPr>
          <w:rFonts w:ascii="Arial" w:hAnsi="Arial"/>
          <w:color w:val="000000"/>
          <w:sz w:val="20"/>
        </w:rPr>
        <w:t>.5. При подтверждении гарантийного случая Клиника безвозмездно устраняет недостатк</w:t>
      </w:r>
      <w:r>
        <w:rPr>
          <w:rFonts w:ascii="Arial" w:hAnsi="Arial"/>
          <w:color w:val="000000"/>
          <w:sz w:val="20"/>
        </w:rPr>
        <w:t>и в срок, не превышающий 30 дней с даты предъявления требования, если иной срок не согласован сторонами. </w:t>
      </w:r>
    </w:p>
    <w:p w14:paraId="1F01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7</w:t>
      </w:r>
      <w:r>
        <w:rPr>
          <w:rFonts w:ascii="Arial" w:hAnsi="Arial"/>
          <w:color w:val="000000"/>
          <w:sz w:val="20"/>
        </w:rPr>
        <w:t>.6. В случае спора о причинах возни</w:t>
      </w:r>
      <w:r>
        <w:rPr>
          <w:rFonts w:ascii="Arial" w:hAnsi="Arial"/>
          <w:color w:val="000000"/>
          <w:sz w:val="20"/>
        </w:rPr>
        <w:t>кновения недостатков Клиника и П</w:t>
      </w:r>
      <w:r>
        <w:rPr>
          <w:rFonts w:ascii="Arial" w:hAnsi="Arial"/>
          <w:color w:val="000000"/>
          <w:sz w:val="20"/>
        </w:rPr>
        <w:t>ациент вправе провести независимую медицинскую (медико-техническую) экспертизу. Ра</w:t>
      </w:r>
      <w:r>
        <w:rPr>
          <w:rFonts w:ascii="Arial" w:hAnsi="Arial"/>
          <w:color w:val="000000"/>
          <w:sz w:val="20"/>
        </w:rPr>
        <w:t>сходы на экспертизу несёт сторона, чьи доводы не подтвердились. </w:t>
      </w:r>
    </w:p>
    <w:p w14:paraId="2001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7</w:t>
      </w:r>
      <w:r>
        <w:rPr>
          <w:rFonts w:ascii="Arial" w:hAnsi="Arial"/>
          <w:color w:val="000000"/>
          <w:sz w:val="20"/>
        </w:rPr>
        <w:t>.7. В соответствии со ст. 29 Закона РФ «О защите прав потребителей» пациент при обнаружении недостатков вправе по своему выбору потребовать: </w:t>
      </w:r>
    </w:p>
    <w:p w14:paraId="2101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безвозмездного устранения недостатков оказанной </w:t>
      </w:r>
      <w:r>
        <w:rPr>
          <w:rFonts w:ascii="Arial" w:hAnsi="Arial"/>
          <w:color w:val="000000"/>
          <w:sz w:val="20"/>
        </w:rPr>
        <w:t>услуги;</w:t>
      </w:r>
    </w:p>
    <w:p w14:paraId="2201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соответствующего уменьшения цены оказанной услуги;</w:t>
      </w:r>
    </w:p>
    <w:p w14:paraId="2301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повторного оказания услуги, если это допустимо по медицинским показаниям;</w:t>
      </w:r>
    </w:p>
    <w:p w14:paraId="2401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возмещения понесённых расходов по устранению недостатков своими силами или третьими лицами (при условии документального под</w:t>
      </w:r>
      <w:r>
        <w:rPr>
          <w:rFonts w:ascii="Arial" w:hAnsi="Arial"/>
          <w:color w:val="000000"/>
          <w:sz w:val="20"/>
        </w:rPr>
        <w:t>тверждения);</w:t>
      </w:r>
    </w:p>
    <w:p w14:paraId="25010000">
      <w:pPr>
        <w:tabs>
          <w:tab w:leader="none" w:pos="720" w:val="left"/>
        </w:tabs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отказа от договора и возмещения убытков — при выявлении существенных недостатков либо </w:t>
      </w:r>
      <w:r>
        <w:rPr>
          <w:rFonts w:ascii="Arial" w:hAnsi="Arial"/>
          <w:color w:val="000000"/>
          <w:sz w:val="20"/>
        </w:rPr>
        <w:t>неустранении</w:t>
      </w:r>
      <w:r>
        <w:rPr>
          <w:rFonts w:ascii="Arial" w:hAnsi="Arial"/>
          <w:color w:val="000000"/>
          <w:sz w:val="20"/>
        </w:rPr>
        <w:t xml:space="preserve"> недостатков в назначенный срок.</w:t>
      </w:r>
    </w:p>
    <w:p w14:paraId="26010000">
      <w:pPr>
        <w:spacing w:after="480" w:before="480"/>
        <w:ind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inline>
                <wp:extent cx="0" cy="19050"/>
                <wp:docPr hidden="false" id="10" name="Picture 10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27010000">
      <w:pPr>
        <w:spacing w:after="120" w:before="300" w:line="420" w:lineRule="atLeast"/>
        <w:ind/>
        <w:outlineLvl w:val="2"/>
        <w:rPr>
          <w:rFonts w:ascii="Arial" w:hAnsi="Arial"/>
          <w:b w:val="1"/>
          <w:color w:val="000000"/>
          <w:sz w:val="24"/>
        </w:rPr>
      </w:pPr>
      <w:r>
        <w:rPr>
          <w:rFonts w:ascii="Arial" w:hAnsi="Arial"/>
          <w:b w:val="1"/>
          <w:color w:val="000000"/>
          <w:sz w:val="24"/>
        </w:rPr>
        <w:t>8</w:t>
      </w:r>
      <w:r>
        <w:rPr>
          <w:rFonts w:ascii="Arial" w:hAnsi="Arial"/>
          <w:b w:val="1"/>
          <w:color w:val="000000"/>
          <w:sz w:val="24"/>
        </w:rPr>
        <w:t>. Факторы, влияющие на сроки гарантии</w:t>
      </w:r>
    </w:p>
    <w:p w14:paraId="2801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8</w:t>
      </w:r>
      <w:r>
        <w:rPr>
          <w:rFonts w:ascii="Arial" w:hAnsi="Arial"/>
          <w:color w:val="000000"/>
          <w:sz w:val="20"/>
        </w:rPr>
        <w:t>.1. Гарантийные ср</w:t>
      </w:r>
      <w:r>
        <w:rPr>
          <w:rFonts w:ascii="Arial" w:hAnsi="Arial"/>
          <w:color w:val="000000"/>
          <w:sz w:val="20"/>
        </w:rPr>
        <w:t>оки и сроки службы могут быть уменьшены при наличии следующих факторов: </w:t>
      </w:r>
    </w:p>
    <w:p w14:paraId="29010000">
      <w:pPr>
        <w:numPr>
          <w:ilvl w:val="0"/>
          <w:numId w:val="3"/>
        </w:num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индекс КПУ (кариес-пломба-удалённый зуб) 13–18 — срок гарантии и срок службы снижаются на 30%;</w:t>
      </w:r>
    </w:p>
    <w:p w14:paraId="2A010000">
      <w:pPr>
        <w:numPr>
          <w:ilvl w:val="0"/>
          <w:numId w:val="3"/>
        </w:num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индекс КПУ свыше 18 — срок гарантии и срок службы снижаются на 50%;</w:t>
      </w:r>
    </w:p>
    <w:p w14:paraId="2B010000">
      <w:pPr>
        <w:numPr>
          <w:ilvl w:val="0"/>
          <w:numId w:val="3"/>
        </w:num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неудовлетворительная</w:t>
      </w:r>
      <w:r>
        <w:rPr>
          <w:rFonts w:ascii="Arial" w:hAnsi="Arial"/>
          <w:color w:val="000000"/>
          <w:sz w:val="20"/>
        </w:rPr>
        <w:t xml:space="preserve"> гигиена полости рта — срок гарантии уменьшается на 50%;</w:t>
      </w:r>
    </w:p>
    <w:p w14:paraId="2C010000">
      <w:pPr>
        <w:numPr>
          <w:ilvl w:val="0"/>
          <w:numId w:val="3"/>
        </w:num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курение — для </w:t>
      </w:r>
      <w:r>
        <w:rPr>
          <w:rFonts w:ascii="Arial" w:hAnsi="Arial"/>
          <w:color w:val="000000"/>
          <w:sz w:val="20"/>
        </w:rPr>
        <w:t>имплантологических</w:t>
      </w:r>
      <w:r>
        <w:rPr>
          <w:rFonts w:ascii="Arial" w:hAnsi="Arial"/>
          <w:color w:val="000000"/>
          <w:sz w:val="20"/>
        </w:rPr>
        <w:t xml:space="preserve"> работ гарантийный срок может быть снижен врачом индивидуально.</w:t>
      </w:r>
    </w:p>
    <w:p w14:paraId="2D010000">
      <w:pPr>
        <w:spacing w:after="120" w:before="120"/>
        <w:ind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0"/>
        </w:rPr>
        <w:t>8</w:t>
      </w:r>
      <w:r>
        <w:rPr>
          <w:rFonts w:ascii="Arial" w:hAnsi="Arial"/>
          <w:color w:val="000000"/>
          <w:sz w:val="20"/>
        </w:rPr>
        <w:t>.2. Конкретные сроки с учётом всех факторов фиксирую</w:t>
      </w:r>
      <w:r>
        <w:rPr>
          <w:rFonts w:ascii="Arial" w:hAnsi="Arial"/>
          <w:color w:val="000000"/>
          <w:sz w:val="20"/>
        </w:rPr>
        <w:t>тся врачом в медицинской карте п</w:t>
      </w:r>
      <w:r>
        <w:rPr>
          <w:rFonts w:ascii="Arial" w:hAnsi="Arial"/>
          <w:color w:val="000000"/>
          <w:sz w:val="20"/>
        </w:rPr>
        <w:t>ациента и согласо</w:t>
      </w:r>
      <w:r>
        <w:rPr>
          <w:rFonts w:ascii="Arial" w:hAnsi="Arial"/>
          <w:color w:val="000000"/>
          <w:sz w:val="20"/>
        </w:rPr>
        <w:t>вываются с П</w:t>
      </w:r>
      <w:r>
        <w:rPr>
          <w:rFonts w:ascii="Arial" w:hAnsi="Arial"/>
          <w:color w:val="000000"/>
          <w:sz w:val="20"/>
        </w:rPr>
        <w:t>ациентом до начала лечения</w:t>
      </w:r>
      <w:r>
        <w:rPr>
          <w:rFonts w:ascii="Arial" w:hAnsi="Arial"/>
          <w:color w:val="000000"/>
          <w:sz w:val="24"/>
        </w:rPr>
        <w:t>.</w:t>
      </w:r>
    </w:p>
    <w:p w14:paraId="2E010000">
      <w:pPr>
        <w:spacing w:after="120" w:before="300" w:line="420" w:lineRule="atLeast"/>
        <w:ind/>
        <w:outlineLvl w:val="2"/>
        <w:rPr>
          <w:rFonts w:ascii="Arial" w:hAnsi="Arial"/>
          <w:b w:val="1"/>
          <w:color w:val="000000"/>
          <w:sz w:val="24"/>
        </w:rPr>
      </w:pPr>
      <w:r>
        <w:rPr>
          <w:rFonts w:ascii="Arial" w:hAnsi="Arial"/>
          <w:b w:val="1"/>
          <w:color w:val="000000"/>
          <w:sz w:val="24"/>
        </w:rPr>
        <w:t>9</w:t>
      </w:r>
      <w:r>
        <w:rPr>
          <w:rFonts w:ascii="Arial" w:hAnsi="Arial"/>
          <w:b w:val="1"/>
          <w:color w:val="000000"/>
          <w:sz w:val="24"/>
        </w:rPr>
        <w:t>. Заключительные положения</w:t>
      </w:r>
    </w:p>
    <w:p w14:paraId="2F01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9</w:t>
      </w:r>
      <w:r>
        <w:rPr>
          <w:rFonts w:ascii="Arial" w:hAnsi="Arial"/>
          <w:color w:val="000000"/>
          <w:sz w:val="20"/>
        </w:rPr>
        <w:t>.1. Настоящее Положение вступает в силу с момента его утверждения и действует до замены его новым Положением.</w:t>
      </w:r>
    </w:p>
    <w:p w14:paraId="3001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9</w:t>
      </w:r>
      <w:r>
        <w:rPr>
          <w:rFonts w:ascii="Arial" w:hAnsi="Arial"/>
          <w:color w:val="000000"/>
          <w:sz w:val="20"/>
        </w:rPr>
        <w:t>.2. Положение может быть изменено и дополнено приказом Генерального дир</w:t>
      </w:r>
      <w:r>
        <w:rPr>
          <w:rFonts w:ascii="Arial" w:hAnsi="Arial"/>
          <w:color w:val="000000"/>
          <w:sz w:val="20"/>
        </w:rPr>
        <w:t>ектора. Актуальная редакция размещается на официальном сайте Клиники и на информационном стенде в помещении Клиники. </w:t>
      </w:r>
    </w:p>
    <w:p w14:paraId="3101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9</w:t>
      </w:r>
      <w:r>
        <w:rPr>
          <w:rFonts w:ascii="Arial" w:hAnsi="Arial"/>
          <w:color w:val="000000"/>
          <w:sz w:val="20"/>
        </w:rPr>
        <w:t>.3. Во всех случаях, не урегулированных настоящим Положением, применяются нормы законодательства Российской Федерации.</w:t>
      </w:r>
    </w:p>
    <w:p w14:paraId="32010000">
      <w:pPr>
        <w:spacing w:after="120" w:before="120"/>
        <w:ind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9</w:t>
      </w:r>
      <w:r>
        <w:rPr>
          <w:rFonts w:ascii="Arial" w:hAnsi="Arial"/>
          <w:color w:val="000000"/>
          <w:sz w:val="20"/>
        </w:rPr>
        <w:t>.4. Положение с</w:t>
      </w:r>
      <w:r>
        <w:rPr>
          <w:rFonts w:ascii="Arial" w:hAnsi="Arial"/>
          <w:color w:val="000000"/>
          <w:sz w:val="20"/>
        </w:rPr>
        <w:t>оставлено в соответствии с действующим законодательством на момент утверждения. При изменении законодательства Положение подлежит приведению в соответствие с новыми нормами.</w:t>
      </w:r>
    </w:p>
    <w:p w14:paraId="33010000">
      <w:pPr>
        <w:spacing w:after="480" w:before="480"/>
        <w:ind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inline>
                <wp:extent cx="0" cy="19050"/>
                <wp:docPr hidden="false" id="11" name="Picture 1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34010000">
      <w:pPr>
        <w:spacing w:after="480" w:before="480" w:line="420" w:lineRule="atLeast"/>
        <w:ind/>
        <w:rPr>
          <w:rFonts w:ascii="Arial" w:hAnsi="Arial"/>
          <w:color w:val="000000"/>
          <w:sz w:val="24"/>
        </w:rPr>
      </w:pPr>
    </w:p>
    <w:sectPr>
      <w:pgSz w:h="16838" w:orient="portrait" w:w="11906"/>
      <w:pgMar w:bottom="720" w:footer="709" w:gutter="0" w:header="709" w:left="720" w:right="720" w:top="72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312" w:val="left"/>
        </w:tabs>
        <w:ind/>
      </w:pPr>
    </w:lvl>
    <w:lvl w:ilvl="1">
      <w:start w:val="1"/>
      <w:numFmt w:val="decimal"/>
      <w:lvlText w:val="%1.%2"/>
      <w:lvlJc w:val="left"/>
      <w:pPr>
        <w:ind w:firstLine="0" w:left="0"/>
      </w:pPr>
    </w:lvl>
    <w:lvl w:ilvl="2">
      <w:start w:val="1"/>
      <w:numFmt w:val="decimal"/>
      <w:lvlText w:val="%1.%2.%3"/>
      <w:lvlJc w:val="left"/>
      <w:pPr>
        <w:ind w:firstLine="0" w:left="0"/>
      </w:pPr>
    </w:lvl>
    <w:lvl w:ilvl="3">
      <w:start w:val="1"/>
      <w:numFmt w:val="decimal"/>
      <w:lvlText w:val="%1.%2.%3.%4"/>
      <w:lvlJc w:val="left"/>
      <w:pPr>
        <w:ind w:firstLine="0" w:left="0"/>
      </w:pPr>
    </w:lvl>
    <w:lvl w:ilvl="4">
      <w:start w:val="1"/>
      <w:numFmt w:val="decimal"/>
      <w:lvlText w:val="%1.%2.%3.%4.%5"/>
      <w:lvlJc w:val="left"/>
      <w:pPr>
        <w:ind w:firstLine="0" w:left="0"/>
      </w:pPr>
    </w:lvl>
    <w:lvl w:ilvl="5">
      <w:start w:val="1"/>
      <w:numFmt w:val="decimal"/>
      <w:lvlText w:val="%1.%2.%3.%4.%5.%6"/>
      <w:lvlJc w:val="left"/>
      <w:pPr>
        <w:ind w:firstLine="0" w:left="0"/>
      </w:pPr>
    </w:lvl>
    <w:lvl w:ilvl="6">
      <w:start w:val="1"/>
      <w:numFmt w:val="decimal"/>
      <w:lvlText w:val="%1.%2.%3.%4.%5.%6.%7"/>
      <w:lvlJc w:val="left"/>
      <w:pPr>
        <w:ind w:firstLine="0" w:left="0"/>
      </w:pPr>
    </w:lvl>
    <w:lvl w:ilvl="7">
      <w:start w:val="1"/>
      <w:numFmt w:val="decimal"/>
      <w:lvlText w:val="%1.%2.%3.%4.%5.%6.%7.%8"/>
      <w:lvlJc w:val="left"/>
      <w:pPr>
        <w:ind w:firstLine="0" w:left="0"/>
      </w:pPr>
    </w:lvl>
    <w:lvl w:ilvl="8">
      <w:start w:val="1"/>
      <w:numFmt w:val="decimal"/>
      <w:lvlText w:val="%1.%2.%3.%4.%5.%6.%7.%8.%9"/>
      <w:lvlJc w:val="left"/>
      <w:pPr>
        <w:ind w:firstLine="0" w:left="0"/>
      </w:pPr>
    </w:lvl>
  </w:abstractNum>
  <w:abstractNum w:abstractNumId="1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leader="none" w:pos="1440" w:val="left"/>
        </w:tabs>
        <w:ind w:hanging="360" w:left="144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leader="none" w:pos="2160" w:val="left"/>
        </w:tabs>
        <w:ind w:hanging="360" w:left="21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leader="none" w:pos="2880" w:val="left"/>
        </w:tabs>
        <w:ind w:hanging="360" w:left="288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leader="none" w:pos="3600" w:val="left"/>
        </w:tabs>
        <w:ind w:hanging="360" w:left="360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leader="none" w:pos="4320" w:val="left"/>
        </w:tabs>
        <w:ind w:hanging="360" w:left="432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leader="none" w:pos="5040" w:val="left"/>
        </w:tabs>
        <w:ind w:hanging="360" w:left="504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leader="none" w:pos="5760" w:val="left"/>
        </w:tabs>
        <w:ind w:hanging="360" w:left="57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leader="none" w:pos="6480" w:val="left"/>
        </w:tabs>
        <w:ind w:hanging="360" w:left="6480"/>
      </w:pPr>
      <w:rPr>
        <w:rFonts w:ascii="Symbol" w:hAnsi="Symbol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rFonts w:ascii="Times New Roman" w:hAnsi="Times New Roman"/>
      <w:sz w:val="28"/>
    </w:rPr>
  </w:style>
  <w:style w:default="1" w:styleId="Style_4_ch" w:type="character">
    <w:name w:val="Normal"/>
    <w:link w:val="Style_4"/>
    <w:rPr>
      <w:rFonts w:ascii="Times New Roman" w:hAnsi="Times New Roman"/>
      <w:sz w:val="28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heading 7"/>
    <w:basedOn w:val="Style_4"/>
    <w:next w:val="Style_4"/>
    <w:link w:val="Style_7_ch"/>
    <w:uiPriority w:val="9"/>
    <w:qFormat/>
    <w:pPr>
      <w:keepNext w:val="1"/>
      <w:keepLines w:val="1"/>
      <w:spacing w:before="40"/>
      <w:ind/>
      <w:outlineLvl w:val="6"/>
    </w:pPr>
    <w:rPr>
      <w:rFonts w:asciiTheme="minorAscii" w:hAnsiTheme="minorHAnsi"/>
      <w:color w:themeColor="text1" w:themeTint="A6" w:val="595959"/>
    </w:rPr>
  </w:style>
  <w:style w:styleId="Style_7_ch" w:type="character">
    <w:name w:val="heading 7"/>
    <w:basedOn w:val="Style_4_ch"/>
    <w:link w:val="Style_7"/>
    <w:rPr>
      <w:rFonts w:asciiTheme="minorAscii" w:hAnsiTheme="minorHAnsi"/>
      <w:color w:themeColor="text1" w:themeTint="A6" w:val="595959"/>
    </w:rPr>
  </w:style>
  <w:style w:styleId="Style_8" w:type="paragraph">
    <w:name w:val="toc 6"/>
    <w:next w:val="Style_4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4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basedOn w:val="Style_4"/>
    <w:next w:val="Style_4"/>
    <w:link w:val="Style_11_ch"/>
    <w:uiPriority w:val="9"/>
    <w:qFormat/>
    <w:pPr>
      <w:keepNext w:val="1"/>
      <w:keepLines w:val="1"/>
      <w:spacing w:after="80" w:before="160"/>
      <w:ind/>
      <w:outlineLvl w:val="2"/>
    </w:pPr>
    <w:rPr>
      <w:rFonts w:asciiTheme="minorAscii" w:hAnsiTheme="minorHAnsi"/>
      <w:color w:themeColor="accent1" w:themeShade="BF" w:val="2E75B5"/>
    </w:rPr>
  </w:style>
  <w:style w:styleId="Style_11_ch" w:type="character">
    <w:name w:val="heading 3"/>
    <w:basedOn w:val="Style_4_ch"/>
    <w:link w:val="Style_11"/>
    <w:rPr>
      <w:rFonts w:asciiTheme="minorAscii" w:hAnsiTheme="minorHAnsi"/>
      <w:color w:themeColor="accent1" w:themeShade="BF" w:val="2E75B5"/>
    </w:rPr>
  </w:style>
  <w:style w:styleId="Style_12" w:type="paragraph">
    <w:name w:val="Quote"/>
    <w:basedOn w:val="Style_4"/>
    <w:next w:val="Style_4"/>
    <w:link w:val="Style_12_ch"/>
    <w:pPr>
      <w:spacing w:before="160"/>
      <w:ind/>
      <w:jc w:val="center"/>
    </w:pPr>
    <w:rPr>
      <w:i w:val="1"/>
      <w:color w:themeColor="text1" w:themeTint="BF" w:val="404040"/>
    </w:rPr>
  </w:style>
  <w:style w:styleId="Style_12_ch" w:type="character">
    <w:name w:val="Quote"/>
    <w:basedOn w:val="Style_4_ch"/>
    <w:link w:val="Style_12"/>
    <w:rPr>
      <w:i w:val="1"/>
      <w:color w:themeColor="text1" w:themeTint="BF" w:val="404040"/>
    </w:rPr>
  </w:style>
  <w:style w:styleId="Style_13" w:type="paragraph">
    <w:name w:val="heading 9"/>
    <w:basedOn w:val="Style_4"/>
    <w:next w:val="Style_4"/>
    <w:link w:val="Style_13_ch"/>
    <w:uiPriority w:val="9"/>
    <w:qFormat/>
    <w:pPr>
      <w:keepNext w:val="1"/>
      <w:keepLines w:val="1"/>
      <w:ind/>
      <w:outlineLvl w:val="8"/>
    </w:pPr>
    <w:rPr>
      <w:rFonts w:asciiTheme="minorAscii" w:hAnsiTheme="minorHAnsi"/>
      <w:color w:themeColor="text1" w:themeTint="D9" w:val="262626"/>
    </w:rPr>
  </w:style>
  <w:style w:styleId="Style_13_ch" w:type="character">
    <w:name w:val="heading 9"/>
    <w:basedOn w:val="Style_4_ch"/>
    <w:link w:val="Style_13"/>
    <w:rPr>
      <w:rFonts w:asciiTheme="minorAscii" w:hAnsiTheme="minorHAnsi"/>
      <w:color w:themeColor="text1" w:themeTint="D9" w:val="262626"/>
    </w:rPr>
  </w:style>
  <w:style w:styleId="Style_3" w:type="paragraph">
    <w:name w:val="List Paragraph"/>
    <w:basedOn w:val="Style_4"/>
    <w:link w:val="Style_3_ch"/>
    <w:pPr>
      <w:ind w:firstLine="0" w:left="720"/>
      <w:contextualSpacing w:val="1"/>
    </w:pPr>
  </w:style>
  <w:style w:styleId="Style_3_ch" w:type="character">
    <w:name w:val="List Paragraph"/>
    <w:basedOn w:val="Style_4_ch"/>
    <w:link w:val="Style_3"/>
  </w:style>
  <w:style w:styleId="Style_14" w:type="paragraph">
    <w:name w:val="Сильное выделение1"/>
    <w:basedOn w:val="Style_15"/>
    <w:link w:val="Style_14_ch"/>
    <w:rPr>
      <w:i w:val="1"/>
      <w:color w:themeColor="accent1" w:themeShade="BF" w:val="2E75B5"/>
    </w:rPr>
  </w:style>
  <w:style w:styleId="Style_14_ch" w:type="character">
    <w:name w:val="Сильное выделение1"/>
    <w:basedOn w:val="Style_15_ch"/>
    <w:link w:val="Style_14"/>
    <w:rPr>
      <w:i w:val="1"/>
      <w:color w:themeColor="accent1" w:themeShade="BF" w:val="2E75B5"/>
    </w:rPr>
  </w:style>
  <w:style w:styleId="Style_16" w:type="paragraph">
    <w:name w:val="toc 3"/>
    <w:next w:val="Style_4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heading 5"/>
    <w:basedOn w:val="Style_4"/>
    <w:next w:val="Style_4"/>
    <w:link w:val="Style_17_ch"/>
    <w:uiPriority w:val="9"/>
    <w:qFormat/>
    <w:pPr>
      <w:keepNext w:val="1"/>
      <w:keepLines w:val="1"/>
      <w:spacing w:after="40" w:before="80"/>
      <w:ind/>
      <w:outlineLvl w:val="4"/>
    </w:pPr>
    <w:rPr>
      <w:rFonts w:asciiTheme="minorAscii" w:hAnsiTheme="minorHAnsi"/>
      <w:color w:themeColor="accent1" w:themeShade="BF" w:val="2E75B5"/>
    </w:rPr>
  </w:style>
  <w:style w:styleId="Style_17_ch" w:type="character">
    <w:name w:val="heading 5"/>
    <w:basedOn w:val="Style_4_ch"/>
    <w:link w:val="Style_17"/>
    <w:rPr>
      <w:rFonts w:asciiTheme="minorAscii" w:hAnsiTheme="minorHAnsi"/>
      <w:color w:themeColor="accent1" w:themeShade="BF" w:val="2E75B5"/>
    </w:rPr>
  </w:style>
  <w:style w:styleId="Style_18" w:type="paragraph">
    <w:name w:val="heading 1"/>
    <w:basedOn w:val="Style_4"/>
    <w:next w:val="Style_4"/>
    <w:link w:val="Style_18_ch"/>
    <w:uiPriority w:val="9"/>
    <w:qFormat/>
    <w:pPr>
      <w:keepNext w:val="1"/>
      <w:keepLines w:val="1"/>
      <w:spacing w:after="80" w:before="360"/>
      <w:ind/>
      <w:outlineLvl w:val="0"/>
    </w:pPr>
    <w:rPr>
      <w:rFonts w:asciiTheme="majorAscii" w:hAnsiTheme="majorHAnsi"/>
      <w:color w:themeColor="accent1" w:themeShade="BF" w:val="2E75B5"/>
      <w:sz w:val="40"/>
    </w:rPr>
  </w:style>
  <w:style w:styleId="Style_18_ch" w:type="character">
    <w:name w:val="heading 1"/>
    <w:basedOn w:val="Style_4_ch"/>
    <w:link w:val="Style_18"/>
    <w:rPr>
      <w:rFonts w:asciiTheme="majorAscii" w:hAnsiTheme="majorHAnsi"/>
      <w:color w:themeColor="accent1" w:themeShade="BF" w:val="2E75B5"/>
      <w:sz w:val="40"/>
    </w:rPr>
  </w:style>
  <w:style w:styleId="Style_19" w:type="paragraph">
    <w:name w:val="Intense Quote"/>
    <w:basedOn w:val="Style_4"/>
    <w:next w:val="Style_4"/>
    <w:link w:val="Style_19_ch"/>
    <w:pPr>
      <w:spacing w:after="360" w:before="360"/>
      <w:ind w:firstLine="0" w:left="864" w:right="864"/>
      <w:jc w:val="center"/>
    </w:pPr>
    <w:rPr>
      <w:i w:val="1"/>
      <w:color w:themeColor="accent1" w:themeShade="BF" w:val="2E75B5"/>
    </w:rPr>
  </w:style>
  <w:style w:styleId="Style_19_ch" w:type="character">
    <w:name w:val="Intense Quote"/>
    <w:basedOn w:val="Style_4_ch"/>
    <w:link w:val="Style_19"/>
    <w:rPr>
      <w:i w:val="1"/>
      <w:color w:themeColor="accent1" w:themeShade="BF" w:val="2E75B5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heading 8"/>
    <w:basedOn w:val="Style_4"/>
    <w:next w:val="Style_4"/>
    <w:link w:val="Style_22_ch"/>
    <w:uiPriority w:val="9"/>
    <w:qFormat/>
    <w:pPr>
      <w:keepNext w:val="1"/>
      <w:keepLines w:val="1"/>
      <w:ind/>
      <w:outlineLvl w:val="7"/>
    </w:pPr>
    <w:rPr>
      <w:rFonts w:asciiTheme="minorAscii" w:hAnsiTheme="minorHAnsi"/>
      <w:i w:val="1"/>
      <w:color w:themeColor="text1" w:themeTint="D9" w:val="262626"/>
    </w:rPr>
  </w:style>
  <w:style w:styleId="Style_22_ch" w:type="character">
    <w:name w:val="heading 8"/>
    <w:basedOn w:val="Style_4_ch"/>
    <w:link w:val="Style_22"/>
    <w:rPr>
      <w:rFonts w:asciiTheme="minorAscii" w:hAnsiTheme="minorHAnsi"/>
      <w:i w:val="1"/>
      <w:color w:themeColor="text1" w:themeTint="D9" w:val="262626"/>
    </w:rPr>
  </w:style>
  <w:style w:styleId="Style_23" w:type="paragraph">
    <w:name w:val="toc 1"/>
    <w:next w:val="Style_4"/>
    <w:link w:val="Style_2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24" w:type="paragraph">
    <w:name w:val="Header and Footer"/>
    <w:link w:val="Style_24_ch"/>
    <w:pPr>
      <w:spacing w:line="240" w:lineRule="auto"/>
      <w:ind/>
      <w:jc w:val="both"/>
    </w:pPr>
    <w:rPr>
      <w:rFonts w:ascii="XO Thames" w:hAnsi="XO Thames"/>
      <w:sz w:val="28"/>
    </w:rPr>
  </w:style>
  <w:style w:styleId="Style_24_ch" w:type="character">
    <w:name w:val="Header and Footer"/>
    <w:link w:val="Style_24"/>
    <w:rPr>
      <w:rFonts w:ascii="XO Thames" w:hAnsi="XO Thames"/>
      <w:sz w:val="28"/>
    </w:rPr>
  </w:style>
  <w:style w:styleId="Style_25" w:type="paragraph">
    <w:name w:val="toc 9"/>
    <w:next w:val="Style_4"/>
    <w:link w:val="Style_2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26" w:type="paragraph">
    <w:name w:val="toc 8"/>
    <w:next w:val="Style_4"/>
    <w:link w:val="Style_2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Сильная ссылка1"/>
    <w:basedOn w:val="Style_15"/>
    <w:link w:val="Style_27_ch"/>
    <w:rPr>
      <w:b w:val="1"/>
      <w:smallCaps w:val="1"/>
      <w:color w:themeColor="accent1" w:themeShade="BF" w:val="2E75B5"/>
      <w:spacing w:val="5"/>
    </w:rPr>
  </w:style>
  <w:style w:styleId="Style_27_ch" w:type="character">
    <w:name w:val="Сильная ссылка1"/>
    <w:basedOn w:val="Style_15_ch"/>
    <w:link w:val="Style_27"/>
    <w:rPr>
      <w:b w:val="1"/>
      <w:smallCaps w:val="1"/>
      <w:color w:themeColor="accent1" w:themeShade="BF" w:val="2E75B5"/>
      <w:spacing w:val="5"/>
    </w:rPr>
  </w:style>
  <w:style w:styleId="Style_28" w:type="paragraph">
    <w:name w:val="toc 5"/>
    <w:next w:val="Style_4"/>
    <w:link w:val="Style_2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Subtitle"/>
    <w:basedOn w:val="Style_4"/>
    <w:next w:val="Style_4"/>
    <w:link w:val="Style_29_ch"/>
    <w:uiPriority w:val="11"/>
    <w:qFormat/>
    <w:rPr>
      <w:rFonts w:asciiTheme="minorAscii" w:hAnsiTheme="minorHAnsi"/>
      <w:color w:themeColor="text1" w:themeTint="A6" w:val="595959"/>
      <w:spacing w:val="15"/>
    </w:rPr>
  </w:style>
  <w:style w:styleId="Style_29_ch" w:type="character">
    <w:name w:val="Subtitle"/>
    <w:basedOn w:val="Style_4_ch"/>
    <w:link w:val="Style_29"/>
    <w:rPr>
      <w:rFonts w:asciiTheme="minorAscii" w:hAnsiTheme="minorHAnsi"/>
      <w:color w:themeColor="text1" w:themeTint="A6" w:val="595959"/>
      <w:spacing w:val="15"/>
    </w:rPr>
  </w:style>
  <w:style w:styleId="Style_30" w:type="paragraph">
    <w:name w:val="Title"/>
    <w:basedOn w:val="Style_4"/>
    <w:next w:val="Style_4"/>
    <w:link w:val="Style_30_ch"/>
    <w:uiPriority w:val="10"/>
    <w:qFormat/>
    <w:pPr>
      <w:spacing w:after="80"/>
      <w:ind/>
      <w:contextualSpacing w:val="1"/>
    </w:pPr>
    <w:rPr>
      <w:rFonts w:asciiTheme="majorAscii" w:hAnsiTheme="majorHAnsi"/>
      <w:spacing w:val="-10"/>
      <w:sz w:val="56"/>
    </w:rPr>
  </w:style>
  <w:style w:styleId="Style_30_ch" w:type="character">
    <w:name w:val="Title"/>
    <w:basedOn w:val="Style_4_ch"/>
    <w:link w:val="Style_30"/>
    <w:rPr>
      <w:rFonts w:asciiTheme="majorAscii" w:hAnsiTheme="majorHAnsi"/>
      <w:spacing w:val="-10"/>
      <w:sz w:val="56"/>
    </w:rPr>
  </w:style>
  <w:style w:styleId="Style_31" w:type="paragraph">
    <w:name w:val="heading 4"/>
    <w:basedOn w:val="Style_4"/>
    <w:next w:val="Style_4"/>
    <w:link w:val="Style_31_ch"/>
    <w:uiPriority w:val="9"/>
    <w:qFormat/>
    <w:pPr>
      <w:keepNext w:val="1"/>
      <w:keepLines w:val="1"/>
      <w:spacing w:after="40" w:before="80"/>
      <w:ind/>
      <w:outlineLvl w:val="3"/>
    </w:pPr>
    <w:rPr>
      <w:rFonts w:asciiTheme="minorAscii" w:hAnsiTheme="minorHAnsi"/>
      <w:i w:val="1"/>
      <w:color w:themeColor="accent1" w:themeShade="BF" w:val="2E75B5"/>
    </w:rPr>
  </w:style>
  <w:style w:styleId="Style_31_ch" w:type="character">
    <w:name w:val="heading 4"/>
    <w:basedOn w:val="Style_4_ch"/>
    <w:link w:val="Style_31"/>
    <w:rPr>
      <w:rFonts w:asciiTheme="minorAscii" w:hAnsiTheme="minorHAnsi"/>
      <w:i w:val="1"/>
      <w:color w:themeColor="accent1" w:themeShade="BF" w:val="2E75B5"/>
    </w:rPr>
  </w:style>
  <w:style w:styleId="Style_32" w:type="paragraph">
    <w:name w:val="heading 2"/>
    <w:basedOn w:val="Style_4"/>
    <w:next w:val="Style_4"/>
    <w:link w:val="Style_32_ch"/>
    <w:uiPriority w:val="9"/>
    <w:qFormat/>
    <w:pPr>
      <w:keepNext w:val="1"/>
      <w:keepLines w:val="1"/>
      <w:spacing w:after="80" w:before="160"/>
      <w:ind/>
      <w:outlineLvl w:val="1"/>
    </w:pPr>
    <w:rPr>
      <w:rFonts w:asciiTheme="majorAscii" w:hAnsiTheme="majorHAnsi"/>
      <w:color w:themeColor="accent1" w:themeShade="BF" w:val="2E75B5"/>
      <w:sz w:val="32"/>
    </w:rPr>
  </w:style>
  <w:style w:styleId="Style_32_ch" w:type="character">
    <w:name w:val="heading 2"/>
    <w:basedOn w:val="Style_4_ch"/>
    <w:link w:val="Style_32"/>
    <w:rPr>
      <w:rFonts w:asciiTheme="majorAscii" w:hAnsiTheme="majorHAnsi"/>
      <w:color w:themeColor="accent1" w:themeShade="BF" w:val="2E75B5"/>
      <w:sz w:val="32"/>
    </w:rPr>
  </w:style>
  <w:style w:styleId="Style_33" w:type="paragraph">
    <w:name w:val="heading 6"/>
    <w:basedOn w:val="Style_4"/>
    <w:next w:val="Style_4"/>
    <w:link w:val="Style_33_ch"/>
    <w:uiPriority w:val="9"/>
    <w:qFormat/>
    <w:pPr>
      <w:keepNext w:val="1"/>
      <w:keepLines w:val="1"/>
      <w:spacing w:before="40"/>
      <w:ind/>
      <w:outlineLvl w:val="5"/>
    </w:pPr>
    <w:rPr>
      <w:rFonts w:asciiTheme="minorAscii" w:hAnsiTheme="minorHAnsi"/>
      <w:i w:val="1"/>
      <w:color w:themeColor="text1" w:themeTint="A6" w:val="595959"/>
    </w:rPr>
  </w:style>
  <w:style w:styleId="Style_33_ch" w:type="character">
    <w:name w:val="heading 6"/>
    <w:basedOn w:val="Style_4_ch"/>
    <w:link w:val="Style_33"/>
    <w:rPr>
      <w:rFonts w:asciiTheme="minorAscii" w:hAnsiTheme="minorHAnsi"/>
      <w:i w:val="1"/>
      <w:color w:themeColor="text1" w:themeTint="A6" w:val="595959"/>
    </w:rPr>
  </w:style>
  <w:style w:styleId="Style_1" w:type="table">
    <w:name w:val="Сетка таблицы1"/>
    <w:basedOn w:val="Style_34"/>
    <w:pPr>
      <w:widowControl w:val="0"/>
      <w:ind/>
      <w:jc w:val="both"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" w:type="table">
    <w:name w:val="Table Grid"/>
    <w:basedOn w:val="Style_3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MyOffice-CoreFramework-macOS/31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2026-09-25T12:30:04Z</dcterms:modified>
</cp:coreProperties>
</file>